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E823" w14:textId="77777777" w:rsidR="00D03A8C" w:rsidRPr="00E766EC" w:rsidRDefault="00D03A8C" w:rsidP="004E69C3">
      <w:pPr>
        <w:pStyle w:val="BodyText"/>
        <w:spacing w:before="72"/>
        <w:ind w:left="2078"/>
        <w:jc w:val="both"/>
        <w:rPr>
          <w:rFonts w:asciiTheme="minorHAnsi" w:hAnsiTheme="minorHAnsi" w:cstheme="minorHAnsi"/>
          <w:b/>
          <w:bCs/>
        </w:rPr>
      </w:pPr>
    </w:p>
    <w:p w14:paraId="2DA40023" w14:textId="77777777" w:rsidR="009600F6" w:rsidRPr="00E766EC" w:rsidRDefault="009600F6" w:rsidP="004E69C3">
      <w:pPr>
        <w:pStyle w:val="BodyText"/>
        <w:spacing w:before="72"/>
        <w:ind w:left="2078"/>
        <w:jc w:val="both"/>
        <w:rPr>
          <w:rFonts w:asciiTheme="minorHAnsi" w:hAnsiTheme="minorHAnsi" w:cstheme="minorHAnsi"/>
          <w:b/>
          <w:bCs/>
        </w:rPr>
      </w:pPr>
    </w:p>
    <w:p w14:paraId="08AFE0C8" w14:textId="77777777" w:rsidR="009600F6" w:rsidRPr="00E766EC" w:rsidRDefault="009600F6" w:rsidP="004E69C3">
      <w:pPr>
        <w:pStyle w:val="BodyText"/>
        <w:spacing w:before="72"/>
        <w:ind w:left="2078"/>
        <w:jc w:val="both"/>
        <w:rPr>
          <w:rFonts w:asciiTheme="minorHAnsi" w:hAnsiTheme="minorHAnsi" w:cstheme="minorHAnsi"/>
          <w:b/>
          <w:bCs/>
        </w:rPr>
      </w:pPr>
    </w:p>
    <w:p w14:paraId="18DF0E0B" w14:textId="77777777" w:rsidR="009600F6" w:rsidRPr="00E766EC" w:rsidRDefault="009600F6" w:rsidP="004E69C3">
      <w:pPr>
        <w:pStyle w:val="BodyText"/>
        <w:spacing w:before="72"/>
        <w:ind w:left="2078"/>
        <w:jc w:val="both"/>
        <w:rPr>
          <w:rFonts w:asciiTheme="minorHAnsi" w:hAnsiTheme="minorHAnsi" w:cstheme="minorHAnsi"/>
          <w:b/>
          <w:bCs/>
        </w:rPr>
      </w:pPr>
    </w:p>
    <w:p w14:paraId="3ABD9BB1" w14:textId="77777777" w:rsidR="009600F6" w:rsidRPr="00E766EC" w:rsidRDefault="009600F6" w:rsidP="004E69C3">
      <w:pPr>
        <w:pStyle w:val="BodyText"/>
        <w:spacing w:before="72"/>
        <w:ind w:left="2078"/>
        <w:jc w:val="both"/>
        <w:rPr>
          <w:rFonts w:asciiTheme="minorHAnsi" w:hAnsiTheme="minorHAnsi" w:cstheme="minorHAnsi"/>
          <w:b/>
          <w:bCs/>
        </w:rPr>
      </w:pPr>
    </w:p>
    <w:p w14:paraId="2B49C2C8" w14:textId="77777777" w:rsidR="00E766EC" w:rsidRPr="0017233F" w:rsidRDefault="0049289F" w:rsidP="004E69C3">
      <w:pPr>
        <w:pStyle w:val="BodyText"/>
        <w:ind w:left="90"/>
        <w:jc w:val="center"/>
        <w:rPr>
          <w:rFonts w:asciiTheme="minorHAnsi" w:hAnsiTheme="minorHAnsi" w:cstheme="minorHAnsi"/>
          <w:b/>
          <w:bCs/>
          <w:sz w:val="32"/>
          <w:szCs w:val="32"/>
        </w:rPr>
      </w:pPr>
      <w:r w:rsidRPr="0017233F">
        <w:rPr>
          <w:rFonts w:asciiTheme="minorHAnsi" w:hAnsiTheme="minorHAnsi" w:cstheme="minorHAnsi"/>
          <w:b/>
          <w:bCs/>
          <w:sz w:val="32"/>
          <w:szCs w:val="32"/>
        </w:rPr>
        <w:t>INSIDER TRADING POLICY</w:t>
      </w:r>
      <w:r w:rsidR="00E766EC" w:rsidRPr="0017233F">
        <w:rPr>
          <w:rFonts w:asciiTheme="minorHAnsi" w:hAnsiTheme="minorHAnsi" w:cstheme="minorHAnsi"/>
          <w:b/>
          <w:bCs/>
          <w:sz w:val="32"/>
          <w:szCs w:val="32"/>
        </w:rPr>
        <w:t xml:space="preserve"> AND GUIDELINES WITH RESPECT TO</w:t>
      </w:r>
    </w:p>
    <w:p w14:paraId="29685736" w14:textId="3C90BFE1" w:rsidR="00B039DD" w:rsidRPr="0017233F" w:rsidRDefault="00E766EC" w:rsidP="004E69C3">
      <w:pPr>
        <w:pStyle w:val="BodyText"/>
        <w:spacing w:before="72"/>
        <w:ind w:left="90"/>
        <w:jc w:val="center"/>
        <w:rPr>
          <w:rFonts w:asciiTheme="minorHAnsi" w:hAnsiTheme="minorHAnsi" w:cstheme="minorHAnsi"/>
          <w:b/>
          <w:bCs/>
          <w:sz w:val="32"/>
          <w:szCs w:val="32"/>
        </w:rPr>
      </w:pPr>
      <w:r w:rsidRPr="0017233F">
        <w:rPr>
          <w:rFonts w:asciiTheme="minorHAnsi" w:hAnsiTheme="minorHAnsi" w:cstheme="minorHAnsi"/>
          <w:b/>
          <w:bCs/>
          <w:sz w:val="32"/>
          <w:szCs w:val="32"/>
        </w:rPr>
        <w:t>CERTAIN TRANSACTION</w:t>
      </w:r>
      <w:r w:rsidR="00840D84">
        <w:rPr>
          <w:rFonts w:asciiTheme="minorHAnsi" w:hAnsiTheme="minorHAnsi" w:cstheme="minorHAnsi"/>
          <w:b/>
          <w:bCs/>
          <w:sz w:val="32"/>
          <w:szCs w:val="32"/>
        </w:rPr>
        <w:t>S</w:t>
      </w:r>
      <w:r w:rsidRPr="0017233F">
        <w:rPr>
          <w:rFonts w:asciiTheme="minorHAnsi" w:hAnsiTheme="minorHAnsi" w:cstheme="minorHAnsi"/>
          <w:b/>
          <w:bCs/>
          <w:sz w:val="32"/>
          <w:szCs w:val="32"/>
        </w:rPr>
        <w:t xml:space="preserve"> IN COMPANY SECURITIES</w:t>
      </w:r>
    </w:p>
    <w:p w14:paraId="15B20A68" w14:textId="1B348F76" w:rsidR="0017233F" w:rsidRPr="0017233F" w:rsidRDefault="0017233F" w:rsidP="00840D84">
      <w:pPr>
        <w:jc w:val="center"/>
        <w:rPr>
          <w:rFonts w:asciiTheme="minorHAnsi" w:hAnsiTheme="minorHAnsi" w:cstheme="minorHAnsi"/>
          <w:bCs/>
          <w:iCs/>
        </w:rPr>
      </w:pPr>
      <w:r w:rsidRPr="0017233F">
        <w:rPr>
          <w:rFonts w:asciiTheme="minorHAnsi" w:hAnsiTheme="minorHAnsi" w:cstheme="minorHAnsi"/>
          <w:bCs/>
          <w:iCs/>
        </w:rPr>
        <w:t xml:space="preserve">Confirmed </w:t>
      </w:r>
      <w:r w:rsidR="00E67197">
        <w:rPr>
          <w:rFonts w:asciiTheme="minorHAnsi" w:hAnsiTheme="minorHAnsi" w:cstheme="minorHAnsi"/>
          <w:bCs/>
          <w:iCs/>
        </w:rPr>
        <w:t>April 12</w:t>
      </w:r>
      <w:r w:rsidRPr="0017233F">
        <w:rPr>
          <w:rFonts w:asciiTheme="minorHAnsi" w:hAnsiTheme="minorHAnsi" w:cstheme="minorHAnsi"/>
          <w:bCs/>
          <w:iCs/>
        </w:rPr>
        <w:t>, 202</w:t>
      </w:r>
      <w:r w:rsidR="00E67197">
        <w:rPr>
          <w:rFonts w:asciiTheme="minorHAnsi" w:hAnsiTheme="minorHAnsi" w:cstheme="minorHAnsi"/>
          <w:bCs/>
          <w:iCs/>
        </w:rPr>
        <w:t>2</w:t>
      </w:r>
    </w:p>
    <w:p w14:paraId="22E683EB" w14:textId="77777777" w:rsidR="00B039DD" w:rsidRPr="00E766EC" w:rsidRDefault="00B039DD" w:rsidP="004E69C3">
      <w:pPr>
        <w:pStyle w:val="BodyText"/>
        <w:ind w:left="0"/>
        <w:jc w:val="both"/>
        <w:rPr>
          <w:rFonts w:asciiTheme="minorHAnsi" w:hAnsiTheme="minorHAnsi" w:cstheme="minorHAnsi"/>
        </w:rPr>
      </w:pPr>
    </w:p>
    <w:p w14:paraId="6ADCAAC5" w14:textId="4A16DA33" w:rsidR="00B039DD" w:rsidRPr="00E766EC" w:rsidRDefault="0049289F" w:rsidP="004E69C3">
      <w:pPr>
        <w:pStyle w:val="BodyText"/>
        <w:ind w:left="300" w:firstLine="719"/>
        <w:jc w:val="both"/>
        <w:rPr>
          <w:rFonts w:asciiTheme="minorHAnsi" w:hAnsiTheme="minorHAnsi" w:cstheme="minorHAnsi"/>
        </w:rPr>
      </w:pPr>
      <w:r w:rsidRPr="00E766EC">
        <w:rPr>
          <w:rFonts w:asciiTheme="minorHAnsi" w:hAnsiTheme="minorHAnsi" w:cstheme="minorHAnsi"/>
        </w:rPr>
        <w:t>This Policy provides guidelines to employees, officers and members of the Board of Directors of GOLD RESOURCE CORP</w:t>
      </w:r>
      <w:r w:rsidR="005B0633">
        <w:rPr>
          <w:rFonts w:asciiTheme="minorHAnsi" w:hAnsiTheme="minorHAnsi" w:cstheme="minorHAnsi"/>
        </w:rPr>
        <w:t>ORATION</w:t>
      </w:r>
      <w:r w:rsidRPr="00E766EC">
        <w:rPr>
          <w:rFonts w:asciiTheme="minorHAnsi" w:hAnsiTheme="minorHAnsi" w:cstheme="minorHAnsi"/>
        </w:rPr>
        <w:t xml:space="preserve"> </w:t>
      </w:r>
      <w:r w:rsidR="00947C2B" w:rsidRPr="00E766EC">
        <w:rPr>
          <w:rFonts w:asciiTheme="minorHAnsi" w:hAnsiTheme="minorHAnsi" w:cstheme="minorHAnsi"/>
        </w:rPr>
        <w:t xml:space="preserve">and its </w:t>
      </w:r>
      <w:proofErr w:type="gramStart"/>
      <w:r w:rsidR="00947C2B" w:rsidRPr="00E766EC">
        <w:rPr>
          <w:rFonts w:asciiTheme="minorHAnsi" w:hAnsiTheme="minorHAnsi" w:cstheme="minorHAnsi"/>
        </w:rPr>
        <w:t>wholly-owned</w:t>
      </w:r>
      <w:proofErr w:type="gramEnd"/>
      <w:r w:rsidR="00947C2B" w:rsidRPr="00E766EC">
        <w:rPr>
          <w:rFonts w:asciiTheme="minorHAnsi" w:hAnsiTheme="minorHAnsi" w:cstheme="minorHAnsi"/>
        </w:rPr>
        <w:t xml:space="preserve"> subsidiaries </w:t>
      </w:r>
      <w:r w:rsidRPr="00E766EC">
        <w:rPr>
          <w:rFonts w:asciiTheme="minorHAnsi" w:hAnsiTheme="minorHAnsi" w:cstheme="minorHAnsi"/>
        </w:rPr>
        <w:t>(the “</w:t>
      </w:r>
      <w:r w:rsidRPr="00E766EC">
        <w:rPr>
          <w:rFonts w:asciiTheme="minorHAnsi" w:hAnsiTheme="minorHAnsi" w:cstheme="minorHAnsi"/>
          <w:b/>
        </w:rPr>
        <w:t>Company</w:t>
      </w:r>
      <w:r w:rsidRPr="00E766EC">
        <w:rPr>
          <w:rFonts w:asciiTheme="minorHAnsi" w:hAnsiTheme="minorHAnsi" w:cstheme="minorHAnsi"/>
        </w:rPr>
        <w:t xml:space="preserve">”) with respect to transactions in the Company’s securities. In the discretion of the Insider Trading Compliance </w:t>
      </w:r>
      <w:proofErr w:type="gramStart"/>
      <w:r w:rsidRPr="00E766EC">
        <w:rPr>
          <w:rFonts w:asciiTheme="minorHAnsi" w:hAnsiTheme="minorHAnsi" w:cstheme="minorHAnsi"/>
        </w:rPr>
        <w:t>Office</w:t>
      </w:r>
      <w:r w:rsidR="00840D84">
        <w:rPr>
          <w:rFonts w:asciiTheme="minorHAnsi" w:hAnsiTheme="minorHAnsi" w:cstheme="minorHAnsi"/>
        </w:rPr>
        <w:t>r  (</w:t>
      </w:r>
      <w:proofErr w:type="gramEnd"/>
      <w:r w:rsidR="00840D84">
        <w:rPr>
          <w:rFonts w:asciiTheme="minorHAnsi" w:hAnsiTheme="minorHAnsi" w:cstheme="minorHAnsi"/>
        </w:rPr>
        <w:t xml:space="preserve">the </w:t>
      </w:r>
      <w:r w:rsidR="00840D84" w:rsidRPr="00840D84">
        <w:rPr>
          <w:rFonts w:asciiTheme="minorHAnsi" w:hAnsiTheme="minorHAnsi" w:cstheme="minorHAnsi"/>
          <w:b/>
          <w:bCs/>
        </w:rPr>
        <w:t>“Compliance Officer”</w:t>
      </w:r>
      <w:r w:rsidR="00840D84">
        <w:rPr>
          <w:rFonts w:asciiTheme="minorHAnsi" w:hAnsiTheme="minorHAnsi" w:cstheme="minorHAnsi"/>
        </w:rPr>
        <w:t>)</w:t>
      </w:r>
      <w:r w:rsidRPr="00E766EC">
        <w:rPr>
          <w:rFonts w:asciiTheme="minorHAnsi" w:hAnsiTheme="minorHAnsi" w:cstheme="minorHAnsi"/>
        </w:rPr>
        <w:t xml:space="preserve">, it may also apply to consultants and contractors to the Company. The Company’s </w:t>
      </w:r>
      <w:r w:rsidR="00376E7C">
        <w:rPr>
          <w:rFonts w:asciiTheme="minorHAnsi" w:hAnsiTheme="minorHAnsi" w:cstheme="minorHAnsi"/>
        </w:rPr>
        <w:t>Chief Executive Officer</w:t>
      </w:r>
      <w:r w:rsidRPr="00E766EC">
        <w:rPr>
          <w:rFonts w:asciiTheme="minorHAnsi" w:hAnsiTheme="minorHAnsi" w:cstheme="minorHAnsi"/>
        </w:rPr>
        <w:t>, or such other individual as may be designated by the Board of Directors, is its Compliance Officer.</w:t>
      </w:r>
    </w:p>
    <w:p w14:paraId="2E90338A" w14:textId="77777777" w:rsidR="00B039DD" w:rsidRPr="00E766EC" w:rsidRDefault="00B039DD" w:rsidP="004E69C3">
      <w:pPr>
        <w:pStyle w:val="BodyText"/>
        <w:spacing w:before="1"/>
        <w:ind w:left="0"/>
        <w:jc w:val="both"/>
        <w:rPr>
          <w:rFonts w:asciiTheme="minorHAnsi" w:hAnsiTheme="minorHAnsi" w:cstheme="minorHAnsi"/>
        </w:rPr>
      </w:pPr>
    </w:p>
    <w:p w14:paraId="6D16053B" w14:textId="77777777" w:rsidR="00B039DD" w:rsidRPr="00856624" w:rsidRDefault="0049289F" w:rsidP="004E69C3">
      <w:pPr>
        <w:pStyle w:val="ListParagraph"/>
        <w:numPr>
          <w:ilvl w:val="0"/>
          <w:numId w:val="2"/>
        </w:numPr>
        <w:tabs>
          <w:tab w:val="left" w:pos="1020"/>
          <w:tab w:val="left" w:pos="1021"/>
        </w:tabs>
        <w:jc w:val="both"/>
        <w:rPr>
          <w:rFonts w:asciiTheme="minorHAnsi" w:hAnsiTheme="minorHAnsi" w:cstheme="minorHAnsi"/>
          <w:b/>
          <w:bCs/>
          <w:sz w:val="24"/>
          <w:u w:val="none"/>
        </w:rPr>
      </w:pPr>
      <w:r w:rsidRPr="00856624">
        <w:rPr>
          <w:rFonts w:asciiTheme="minorHAnsi" w:hAnsiTheme="minorHAnsi" w:cstheme="minorHAnsi"/>
          <w:b/>
          <w:bCs/>
          <w:sz w:val="24"/>
          <w:u w:val="none"/>
        </w:rPr>
        <w:t>Applicability of</w:t>
      </w:r>
      <w:r w:rsidRPr="00856624">
        <w:rPr>
          <w:rFonts w:asciiTheme="minorHAnsi" w:hAnsiTheme="minorHAnsi" w:cstheme="minorHAnsi"/>
          <w:b/>
          <w:bCs/>
          <w:spacing w:val="-5"/>
          <w:sz w:val="24"/>
          <w:u w:val="none"/>
        </w:rPr>
        <w:t xml:space="preserve"> </w:t>
      </w:r>
      <w:r w:rsidRPr="00856624">
        <w:rPr>
          <w:rFonts w:asciiTheme="minorHAnsi" w:hAnsiTheme="minorHAnsi" w:cstheme="minorHAnsi"/>
          <w:b/>
          <w:bCs/>
          <w:sz w:val="24"/>
          <w:u w:val="none"/>
        </w:rPr>
        <w:t>Policy</w:t>
      </w:r>
    </w:p>
    <w:p w14:paraId="00D388F2" w14:textId="77777777" w:rsidR="00B039DD" w:rsidRPr="00E766EC" w:rsidRDefault="00B039DD" w:rsidP="004E69C3">
      <w:pPr>
        <w:pStyle w:val="BodyText"/>
        <w:ind w:left="0"/>
        <w:jc w:val="both"/>
        <w:rPr>
          <w:rFonts w:asciiTheme="minorHAnsi" w:hAnsiTheme="minorHAnsi" w:cstheme="minorHAnsi"/>
        </w:rPr>
      </w:pPr>
    </w:p>
    <w:p w14:paraId="4E395D97" w14:textId="69BDA75F" w:rsidR="00B039DD" w:rsidRDefault="0049289F" w:rsidP="004E69C3">
      <w:pPr>
        <w:pStyle w:val="BodyText"/>
        <w:ind w:left="300" w:firstLine="719"/>
        <w:jc w:val="both"/>
        <w:rPr>
          <w:rFonts w:asciiTheme="minorHAnsi" w:hAnsiTheme="minorHAnsi" w:cstheme="minorHAnsi"/>
        </w:rPr>
      </w:pPr>
      <w:r w:rsidRPr="00E766EC">
        <w:rPr>
          <w:rFonts w:asciiTheme="minorHAnsi" w:hAnsiTheme="minorHAnsi" w:cstheme="minorHAnsi"/>
        </w:rPr>
        <w:t xml:space="preserve">This Policy applies to all transactions in the Company’s securities, including common stock, options for common stock and any other securities the Company may issue from time to time, such as preferred stock, warrants and convertible debentures, as well as to derivative securities relating to the Company’s stock, </w:t>
      </w:r>
      <w:proofErr w:type="gramStart"/>
      <w:r w:rsidRPr="00E766EC">
        <w:rPr>
          <w:rFonts w:asciiTheme="minorHAnsi" w:hAnsiTheme="minorHAnsi" w:cstheme="minorHAnsi"/>
        </w:rPr>
        <w:t>whether or not</w:t>
      </w:r>
      <w:proofErr w:type="gramEnd"/>
      <w:r w:rsidRPr="00E766EC">
        <w:rPr>
          <w:rFonts w:asciiTheme="minorHAnsi" w:hAnsiTheme="minorHAnsi" w:cstheme="minorHAnsi"/>
        </w:rPr>
        <w:t xml:space="preserve"> issued by the Company, such as exchange-traded options. It applies to all employees, </w:t>
      </w:r>
      <w:proofErr w:type="gramStart"/>
      <w:r w:rsidRPr="00E766EC">
        <w:rPr>
          <w:rFonts w:asciiTheme="minorHAnsi" w:hAnsiTheme="minorHAnsi" w:cstheme="minorHAnsi"/>
        </w:rPr>
        <w:t>officers</w:t>
      </w:r>
      <w:proofErr w:type="gramEnd"/>
      <w:r w:rsidRPr="00E766EC">
        <w:rPr>
          <w:rFonts w:asciiTheme="minorHAnsi" w:hAnsiTheme="minorHAnsi" w:cstheme="minorHAnsi"/>
        </w:rPr>
        <w:t xml:space="preserve"> and members of the Board of Directors of the Company. In the discretion of the Compliance Officer, it may also apply to consultants and contractors to the Company who receive or have access to such information.</w:t>
      </w:r>
    </w:p>
    <w:p w14:paraId="0CC4D995" w14:textId="77777777" w:rsidR="007F5537" w:rsidRPr="00E766EC" w:rsidRDefault="007F5537" w:rsidP="004E69C3">
      <w:pPr>
        <w:pStyle w:val="BodyText"/>
        <w:ind w:left="300" w:firstLine="719"/>
        <w:jc w:val="both"/>
        <w:rPr>
          <w:rFonts w:asciiTheme="minorHAnsi" w:hAnsiTheme="minorHAnsi" w:cstheme="minorHAnsi"/>
        </w:rPr>
      </w:pPr>
    </w:p>
    <w:p w14:paraId="654F647A" w14:textId="318A40AE" w:rsidR="00B039DD" w:rsidRDefault="0049289F" w:rsidP="004E69C3">
      <w:pPr>
        <w:pStyle w:val="BodyText"/>
        <w:ind w:left="300" w:firstLine="420"/>
        <w:jc w:val="both"/>
        <w:rPr>
          <w:rFonts w:asciiTheme="minorHAnsi" w:hAnsiTheme="minorHAnsi" w:cstheme="minorHAnsi"/>
        </w:rPr>
      </w:pPr>
      <w:r w:rsidRPr="00E766EC">
        <w:rPr>
          <w:rFonts w:asciiTheme="minorHAnsi" w:hAnsiTheme="minorHAnsi" w:cstheme="minorHAnsi"/>
        </w:rPr>
        <w:t>Bas</w:t>
      </w:r>
      <w:r w:rsidR="00840D84">
        <w:rPr>
          <w:rFonts w:asciiTheme="minorHAnsi" w:hAnsiTheme="minorHAnsi" w:cstheme="minorHAnsi"/>
        </w:rPr>
        <w:t>is</w:t>
      </w:r>
      <w:r w:rsidRPr="00E766EC">
        <w:rPr>
          <w:rFonts w:asciiTheme="minorHAnsi" w:hAnsiTheme="minorHAnsi" w:cstheme="minorHAnsi"/>
        </w:rPr>
        <w:t xml:space="preserve"> for determining what constitutes such Material Nonpublic Information </w:t>
      </w:r>
      <w:r w:rsidR="00840D84">
        <w:rPr>
          <w:rFonts w:asciiTheme="minorHAnsi" w:hAnsiTheme="minorHAnsi" w:cstheme="minorHAnsi"/>
        </w:rPr>
        <w:t>is</w:t>
      </w:r>
      <w:r w:rsidRPr="00E766EC">
        <w:rPr>
          <w:rFonts w:asciiTheme="minorHAnsi" w:hAnsiTheme="minorHAnsi" w:cstheme="minorHAnsi"/>
        </w:rPr>
        <w:t xml:space="preserve"> discussed in Section III of this policy. This group of people, members of their immediate families, and members of their households are sometimes referred to in this Policy as “</w:t>
      </w:r>
      <w:r w:rsidRPr="00E766EC">
        <w:rPr>
          <w:rFonts w:asciiTheme="minorHAnsi" w:hAnsiTheme="minorHAnsi" w:cstheme="minorHAnsi"/>
          <w:b/>
        </w:rPr>
        <w:t>Insiders</w:t>
      </w:r>
      <w:r w:rsidRPr="00872EA4">
        <w:rPr>
          <w:rFonts w:asciiTheme="minorHAnsi" w:hAnsiTheme="minorHAnsi" w:cstheme="minorHAnsi"/>
        </w:rPr>
        <w:t>.” This Policy also applies to any person who receives Material Nonpublic Information from any Insider.</w:t>
      </w:r>
    </w:p>
    <w:p w14:paraId="29885BF6" w14:textId="77777777" w:rsidR="005B0633" w:rsidRPr="00872EA4" w:rsidRDefault="005B0633" w:rsidP="004E69C3">
      <w:pPr>
        <w:pStyle w:val="BodyText"/>
        <w:ind w:left="300" w:firstLine="420"/>
        <w:jc w:val="both"/>
        <w:rPr>
          <w:rFonts w:asciiTheme="minorHAnsi" w:hAnsiTheme="minorHAnsi" w:cstheme="minorHAnsi"/>
        </w:rPr>
      </w:pPr>
    </w:p>
    <w:p w14:paraId="31CE7FE7" w14:textId="54DAB98E" w:rsidR="00B039DD" w:rsidRPr="00E766EC" w:rsidRDefault="0049289F" w:rsidP="004E69C3">
      <w:pPr>
        <w:pStyle w:val="BodyText"/>
        <w:spacing w:before="1"/>
        <w:ind w:left="300" w:firstLine="719"/>
        <w:jc w:val="both"/>
        <w:rPr>
          <w:rFonts w:asciiTheme="minorHAnsi" w:hAnsiTheme="minorHAnsi" w:cstheme="minorHAnsi"/>
        </w:rPr>
      </w:pPr>
      <w:r w:rsidRPr="00872EA4">
        <w:rPr>
          <w:rFonts w:asciiTheme="minorHAnsi" w:hAnsiTheme="minorHAnsi" w:cstheme="minorHAnsi"/>
        </w:rPr>
        <w:t>Any person who possesses Material Nonpublic Information regarding the Company is an Insider for so long as the Information is not publicly known.</w:t>
      </w:r>
      <w:r w:rsidRPr="00E766EC">
        <w:rPr>
          <w:rFonts w:asciiTheme="minorHAnsi" w:hAnsiTheme="minorHAnsi" w:cstheme="minorHAnsi"/>
        </w:rPr>
        <w:t xml:space="preserve"> Any employee can be an Insider from time to </w:t>
      </w:r>
      <w:r w:rsidR="004E69C3" w:rsidRPr="00E766EC">
        <w:rPr>
          <w:rFonts w:asciiTheme="minorHAnsi" w:hAnsiTheme="minorHAnsi" w:cstheme="minorHAnsi"/>
        </w:rPr>
        <w:t>time and</w:t>
      </w:r>
      <w:r w:rsidRPr="00E766EC">
        <w:rPr>
          <w:rFonts w:asciiTheme="minorHAnsi" w:hAnsiTheme="minorHAnsi" w:cstheme="minorHAnsi"/>
        </w:rPr>
        <w:t xml:space="preserve"> would at those times be subject to this Policy.</w:t>
      </w:r>
    </w:p>
    <w:p w14:paraId="5A0D83C1" w14:textId="77777777" w:rsidR="00B039DD" w:rsidRPr="00E766EC" w:rsidRDefault="00B039DD" w:rsidP="004E69C3">
      <w:pPr>
        <w:pStyle w:val="BodyText"/>
        <w:ind w:left="0"/>
        <w:jc w:val="both"/>
        <w:rPr>
          <w:rFonts w:asciiTheme="minorHAnsi" w:hAnsiTheme="minorHAnsi" w:cstheme="minorHAnsi"/>
        </w:rPr>
      </w:pPr>
    </w:p>
    <w:p w14:paraId="53845DDA" w14:textId="77777777" w:rsidR="00B039DD" w:rsidRPr="00856624" w:rsidRDefault="0049289F" w:rsidP="004E69C3">
      <w:pPr>
        <w:pStyle w:val="ListParagraph"/>
        <w:numPr>
          <w:ilvl w:val="0"/>
          <w:numId w:val="2"/>
        </w:numPr>
        <w:tabs>
          <w:tab w:val="left" w:pos="1020"/>
          <w:tab w:val="left" w:pos="1021"/>
        </w:tabs>
        <w:jc w:val="both"/>
        <w:rPr>
          <w:rFonts w:asciiTheme="minorHAnsi" w:hAnsiTheme="minorHAnsi" w:cstheme="minorHAnsi"/>
          <w:b/>
          <w:bCs/>
          <w:sz w:val="24"/>
          <w:u w:val="none"/>
        </w:rPr>
      </w:pPr>
      <w:r w:rsidRPr="00856624">
        <w:rPr>
          <w:rFonts w:asciiTheme="minorHAnsi" w:hAnsiTheme="minorHAnsi" w:cstheme="minorHAnsi"/>
          <w:b/>
          <w:bCs/>
          <w:sz w:val="24"/>
          <w:u w:val="none"/>
        </w:rPr>
        <w:t>Statement of</w:t>
      </w:r>
      <w:r w:rsidRPr="00856624">
        <w:rPr>
          <w:rFonts w:asciiTheme="minorHAnsi" w:hAnsiTheme="minorHAnsi" w:cstheme="minorHAnsi"/>
          <w:b/>
          <w:bCs/>
          <w:spacing w:val="-1"/>
          <w:sz w:val="24"/>
          <w:u w:val="none"/>
        </w:rPr>
        <w:t xml:space="preserve"> </w:t>
      </w:r>
      <w:r w:rsidRPr="00856624">
        <w:rPr>
          <w:rFonts w:asciiTheme="minorHAnsi" w:hAnsiTheme="minorHAnsi" w:cstheme="minorHAnsi"/>
          <w:b/>
          <w:bCs/>
          <w:sz w:val="24"/>
          <w:u w:val="none"/>
        </w:rPr>
        <w:t>Policy</w:t>
      </w:r>
    </w:p>
    <w:p w14:paraId="18114CC3" w14:textId="77777777" w:rsidR="00B039DD" w:rsidRPr="00E766EC" w:rsidRDefault="00B039DD" w:rsidP="004E69C3">
      <w:pPr>
        <w:pStyle w:val="BodyText"/>
        <w:ind w:left="0"/>
        <w:jc w:val="both"/>
        <w:rPr>
          <w:rFonts w:asciiTheme="minorHAnsi" w:hAnsiTheme="minorHAnsi" w:cstheme="minorHAnsi"/>
        </w:rPr>
      </w:pPr>
    </w:p>
    <w:p w14:paraId="6ABAA323" w14:textId="77777777" w:rsidR="00B039DD" w:rsidRPr="00E766EC" w:rsidRDefault="0049289F" w:rsidP="004E69C3">
      <w:pPr>
        <w:pStyle w:val="BodyText"/>
        <w:ind w:left="300" w:firstLine="719"/>
        <w:jc w:val="both"/>
        <w:rPr>
          <w:rFonts w:asciiTheme="minorHAnsi" w:hAnsiTheme="minorHAnsi" w:cstheme="minorHAnsi"/>
        </w:rPr>
      </w:pPr>
      <w:r w:rsidRPr="00E766EC">
        <w:rPr>
          <w:rFonts w:asciiTheme="minorHAnsi" w:hAnsiTheme="minorHAnsi" w:cstheme="minorHAnsi"/>
        </w:rPr>
        <w:t xml:space="preserve">It is the policy of the Company to prohibit the unauthorized disclosure of any nonpublic information and the misuse of Material Nonpublic Information in securities trading. Every officer, director and employee </w:t>
      </w:r>
      <w:proofErr w:type="gramStart"/>
      <w:r w:rsidRPr="00E766EC">
        <w:rPr>
          <w:rFonts w:asciiTheme="minorHAnsi" w:hAnsiTheme="minorHAnsi" w:cstheme="minorHAnsi"/>
        </w:rPr>
        <w:t>has</w:t>
      </w:r>
      <w:proofErr w:type="gramEnd"/>
      <w:r w:rsidRPr="00E766EC">
        <w:rPr>
          <w:rFonts w:asciiTheme="minorHAnsi" w:hAnsiTheme="minorHAnsi" w:cstheme="minorHAnsi"/>
        </w:rPr>
        <w:t xml:space="preserve"> the individual responsibility to comply with this Policy against insider trading. Appropriate judgment should be exercised in connection with any trade in the Company’s securities.</w:t>
      </w:r>
    </w:p>
    <w:p w14:paraId="15116ECD" w14:textId="77777777" w:rsidR="00B039DD" w:rsidRPr="00E766EC" w:rsidRDefault="00B039DD" w:rsidP="004E69C3">
      <w:pPr>
        <w:pStyle w:val="BodyText"/>
        <w:ind w:left="0"/>
        <w:jc w:val="both"/>
        <w:rPr>
          <w:rFonts w:asciiTheme="minorHAnsi" w:hAnsiTheme="minorHAnsi" w:cstheme="minorHAnsi"/>
        </w:rPr>
      </w:pPr>
    </w:p>
    <w:p w14:paraId="5F035DED" w14:textId="2BCAE757" w:rsidR="00B039DD" w:rsidRPr="00E766EC" w:rsidRDefault="009B1241" w:rsidP="004E69C3">
      <w:pPr>
        <w:pStyle w:val="BodyText"/>
        <w:tabs>
          <w:tab w:val="left" w:pos="1071"/>
        </w:tabs>
        <w:spacing w:before="72"/>
        <w:ind w:left="1080" w:hanging="360"/>
        <w:jc w:val="both"/>
        <w:rPr>
          <w:rFonts w:asciiTheme="minorHAnsi" w:hAnsiTheme="minorHAnsi" w:cstheme="minorHAnsi"/>
        </w:rPr>
      </w:pPr>
      <w:r w:rsidRPr="004E69C3">
        <w:rPr>
          <w:u w:val="single"/>
        </w:rPr>
        <w:t>A</w:t>
      </w:r>
      <w:r>
        <w:rPr>
          <w:rFonts w:asciiTheme="minorHAnsi" w:hAnsiTheme="minorHAnsi" w:cstheme="minorHAnsi"/>
          <w:u w:val="single"/>
        </w:rPr>
        <w:t>.</w:t>
      </w:r>
      <w:r>
        <w:rPr>
          <w:rFonts w:asciiTheme="minorHAnsi" w:hAnsiTheme="minorHAnsi" w:cstheme="minorHAnsi"/>
          <w:u w:val="single"/>
        </w:rPr>
        <w:tab/>
      </w:r>
      <w:r w:rsidR="0049289F" w:rsidRPr="009D733F">
        <w:rPr>
          <w:rFonts w:asciiTheme="minorHAnsi" w:hAnsiTheme="minorHAnsi" w:cstheme="minorHAnsi"/>
          <w:u w:val="single"/>
        </w:rPr>
        <w:t>Restrictions on Trading</w:t>
      </w:r>
      <w:r w:rsidR="0049289F" w:rsidRPr="00E766EC">
        <w:rPr>
          <w:rFonts w:asciiTheme="minorHAnsi" w:hAnsiTheme="minorHAnsi" w:cstheme="minorHAnsi"/>
        </w:rPr>
        <w:t>. No employee, officer, or member of the Board of Directors of, or (as determined by the Compliance Officer) consultant or contractor to, the Company and no member of the immediate family or household of any such person, shall engage</w:t>
      </w:r>
      <w:r w:rsidR="0049289F" w:rsidRPr="00E766EC">
        <w:rPr>
          <w:rFonts w:asciiTheme="minorHAnsi" w:hAnsiTheme="minorHAnsi" w:cstheme="minorHAnsi"/>
          <w:spacing w:val="-15"/>
        </w:rPr>
        <w:t xml:space="preserve"> </w:t>
      </w:r>
      <w:r w:rsidR="0049289F" w:rsidRPr="00E766EC">
        <w:rPr>
          <w:rFonts w:asciiTheme="minorHAnsi" w:hAnsiTheme="minorHAnsi" w:cstheme="minorHAnsi"/>
        </w:rPr>
        <w:t xml:space="preserve">in any transaction involving a purchase or sale of the Company’s securities, including any offer to purchase or offer to sell, during any period commencing with the date that he or she possesses Material Nonpublic Information concerning the Company, and ending at the close of business on the </w:t>
      </w:r>
      <w:r w:rsidR="00772943">
        <w:rPr>
          <w:rFonts w:asciiTheme="minorHAnsi" w:hAnsiTheme="minorHAnsi" w:cstheme="minorHAnsi"/>
        </w:rPr>
        <w:t>second</w:t>
      </w:r>
      <w:r w:rsidR="0049289F" w:rsidRPr="00E766EC">
        <w:rPr>
          <w:rFonts w:asciiTheme="minorHAnsi" w:hAnsiTheme="minorHAnsi" w:cstheme="minorHAnsi"/>
        </w:rPr>
        <w:t xml:space="preserve"> Trading Day following the date of public disclosure of that information, or at such time as such nonpublic information is no longer material.</w:t>
      </w:r>
      <w:r w:rsidR="0049289F" w:rsidRPr="00E766EC">
        <w:rPr>
          <w:rFonts w:asciiTheme="minorHAnsi" w:hAnsiTheme="minorHAnsi" w:cstheme="minorHAnsi"/>
          <w:spacing w:val="-12"/>
        </w:rPr>
        <w:t xml:space="preserve"> </w:t>
      </w:r>
      <w:r w:rsidR="0049289F" w:rsidRPr="00E766EC">
        <w:rPr>
          <w:rFonts w:asciiTheme="minorHAnsi" w:hAnsiTheme="minorHAnsi" w:cstheme="minorHAnsi"/>
        </w:rPr>
        <w:t>The</w:t>
      </w:r>
      <w:r w:rsidR="009600F6" w:rsidRPr="00E766EC">
        <w:rPr>
          <w:rFonts w:asciiTheme="minorHAnsi" w:hAnsiTheme="minorHAnsi" w:cstheme="minorHAnsi"/>
        </w:rPr>
        <w:t xml:space="preserve"> </w:t>
      </w:r>
      <w:r w:rsidR="0049289F" w:rsidRPr="00E766EC">
        <w:rPr>
          <w:rFonts w:asciiTheme="minorHAnsi" w:hAnsiTheme="minorHAnsi" w:cstheme="minorHAnsi"/>
        </w:rPr>
        <w:t>term “</w:t>
      </w:r>
      <w:r w:rsidR="0049289F" w:rsidRPr="00E766EC">
        <w:rPr>
          <w:rFonts w:asciiTheme="minorHAnsi" w:hAnsiTheme="minorHAnsi" w:cstheme="minorHAnsi"/>
          <w:b/>
        </w:rPr>
        <w:t>Trading Day</w:t>
      </w:r>
      <w:r w:rsidR="0049289F" w:rsidRPr="00E766EC">
        <w:rPr>
          <w:rFonts w:asciiTheme="minorHAnsi" w:hAnsiTheme="minorHAnsi" w:cstheme="minorHAnsi"/>
        </w:rPr>
        <w:t>” shall mean a day on which national stock exchanges are open for trading.</w:t>
      </w:r>
    </w:p>
    <w:p w14:paraId="1F373480" w14:textId="77777777" w:rsidR="00B039DD" w:rsidRPr="00E766EC" w:rsidRDefault="00B039DD" w:rsidP="004E69C3">
      <w:pPr>
        <w:pStyle w:val="BodyText"/>
        <w:ind w:left="0"/>
        <w:jc w:val="both"/>
        <w:rPr>
          <w:rFonts w:asciiTheme="minorHAnsi" w:hAnsiTheme="minorHAnsi" w:cstheme="minorHAnsi"/>
        </w:rPr>
      </w:pPr>
    </w:p>
    <w:p w14:paraId="23E5DF74" w14:textId="77777777" w:rsidR="00B039DD" w:rsidRPr="00E766EC" w:rsidRDefault="0049289F" w:rsidP="004E69C3">
      <w:pPr>
        <w:pStyle w:val="BodyText"/>
        <w:ind w:left="1080"/>
        <w:jc w:val="both"/>
        <w:rPr>
          <w:rFonts w:asciiTheme="minorHAnsi" w:hAnsiTheme="minorHAnsi" w:cstheme="minorHAnsi"/>
        </w:rPr>
      </w:pPr>
      <w:r w:rsidRPr="00E766EC">
        <w:rPr>
          <w:rFonts w:asciiTheme="minorHAnsi" w:hAnsiTheme="minorHAnsi" w:cstheme="minorHAnsi"/>
        </w:rPr>
        <w:t>During a period in which a person possesses Material Nonpublic Information, such Insider often will have to forego a proposed transaction in the Company’s shares, even though he or she planned to make the transaction before learning of the Material Nonpublic Information and even though the failure to execute such transaction may result in an economic loss or the non-realization of anticipated profit.</w:t>
      </w:r>
    </w:p>
    <w:p w14:paraId="44BA2D85" w14:textId="77777777" w:rsidR="00B039DD" w:rsidRPr="00E766EC" w:rsidRDefault="00B039DD" w:rsidP="004E69C3">
      <w:pPr>
        <w:pStyle w:val="BodyText"/>
        <w:ind w:left="0"/>
        <w:jc w:val="both"/>
        <w:rPr>
          <w:rFonts w:asciiTheme="minorHAnsi" w:hAnsiTheme="minorHAnsi" w:cstheme="minorHAnsi"/>
        </w:rPr>
      </w:pPr>
    </w:p>
    <w:p w14:paraId="357132FD" w14:textId="77777777" w:rsidR="00B039DD" w:rsidRPr="00E766EC" w:rsidRDefault="0049289F" w:rsidP="004E69C3">
      <w:pPr>
        <w:pStyle w:val="ListParagraph"/>
        <w:numPr>
          <w:ilvl w:val="1"/>
          <w:numId w:val="2"/>
        </w:numPr>
        <w:tabs>
          <w:tab w:val="left" w:pos="1021"/>
        </w:tabs>
        <w:jc w:val="both"/>
        <w:rPr>
          <w:rFonts w:asciiTheme="minorHAnsi" w:hAnsiTheme="minorHAnsi" w:cstheme="minorHAnsi"/>
          <w:sz w:val="24"/>
          <w:u w:val="none"/>
        </w:rPr>
      </w:pPr>
      <w:r w:rsidRPr="00E766EC">
        <w:rPr>
          <w:rFonts w:asciiTheme="minorHAnsi" w:hAnsiTheme="minorHAnsi" w:cstheme="minorHAnsi"/>
          <w:sz w:val="24"/>
        </w:rPr>
        <w:t>Tipping</w:t>
      </w:r>
      <w:r w:rsidRPr="00E766EC">
        <w:rPr>
          <w:rFonts w:asciiTheme="minorHAnsi" w:hAnsiTheme="minorHAnsi" w:cstheme="minorHAnsi"/>
          <w:sz w:val="24"/>
          <w:u w:val="none"/>
        </w:rPr>
        <w:t>. No Insider shall disclose (“</w:t>
      </w:r>
      <w:r w:rsidRPr="00E766EC">
        <w:rPr>
          <w:rFonts w:asciiTheme="minorHAnsi" w:hAnsiTheme="minorHAnsi" w:cstheme="minorHAnsi"/>
          <w:b/>
          <w:sz w:val="24"/>
          <w:u w:val="none"/>
        </w:rPr>
        <w:t>tip</w:t>
      </w:r>
      <w:r w:rsidRPr="00E766EC">
        <w:rPr>
          <w:rFonts w:asciiTheme="minorHAnsi" w:hAnsiTheme="minorHAnsi" w:cstheme="minorHAnsi"/>
          <w:sz w:val="24"/>
          <w:u w:val="none"/>
        </w:rPr>
        <w:t>”) Material Nonpublic Information to</w:t>
      </w:r>
      <w:r w:rsidRPr="00E766EC">
        <w:rPr>
          <w:rFonts w:asciiTheme="minorHAnsi" w:hAnsiTheme="minorHAnsi" w:cstheme="minorHAnsi"/>
          <w:spacing w:val="-7"/>
          <w:sz w:val="24"/>
          <w:u w:val="none"/>
        </w:rPr>
        <w:t xml:space="preserve"> </w:t>
      </w:r>
      <w:r w:rsidRPr="00E766EC">
        <w:rPr>
          <w:rFonts w:asciiTheme="minorHAnsi" w:hAnsiTheme="minorHAnsi" w:cstheme="minorHAnsi"/>
          <w:sz w:val="24"/>
          <w:u w:val="none"/>
        </w:rPr>
        <w:t>any</w:t>
      </w:r>
    </w:p>
    <w:p w14:paraId="52BDEE6C" w14:textId="77777777" w:rsidR="00B039DD" w:rsidRPr="00E766EC" w:rsidRDefault="0049289F" w:rsidP="004E69C3">
      <w:pPr>
        <w:pStyle w:val="BodyText"/>
        <w:jc w:val="both"/>
        <w:rPr>
          <w:rFonts w:asciiTheme="minorHAnsi" w:hAnsiTheme="minorHAnsi" w:cstheme="minorHAnsi"/>
        </w:rPr>
      </w:pPr>
      <w:r w:rsidRPr="00E766EC">
        <w:rPr>
          <w:rFonts w:asciiTheme="minorHAnsi" w:hAnsiTheme="minorHAnsi" w:cstheme="minorHAnsi"/>
        </w:rPr>
        <w:t xml:space="preserve">other person (including family members) where such information may be used by such person to his or her profit by trading in the securities of companies to which such information relates, nor shall such Insider or related person make recommendations or express opinions </w:t>
      </w:r>
      <w:proofErr w:type="gramStart"/>
      <w:r w:rsidRPr="00E766EC">
        <w:rPr>
          <w:rFonts w:asciiTheme="minorHAnsi" w:hAnsiTheme="minorHAnsi" w:cstheme="minorHAnsi"/>
        </w:rPr>
        <w:t>on the basis of</w:t>
      </w:r>
      <w:proofErr w:type="gramEnd"/>
      <w:r w:rsidRPr="00E766EC">
        <w:rPr>
          <w:rFonts w:asciiTheme="minorHAnsi" w:hAnsiTheme="minorHAnsi" w:cstheme="minorHAnsi"/>
        </w:rPr>
        <w:t xml:space="preserve"> Material Nonpublic Information as to trading in the Company’s securities.</w:t>
      </w:r>
    </w:p>
    <w:p w14:paraId="5B708F42" w14:textId="77777777" w:rsidR="00B039DD" w:rsidRPr="00E766EC" w:rsidRDefault="00B039DD" w:rsidP="004E69C3">
      <w:pPr>
        <w:pStyle w:val="BodyText"/>
        <w:spacing w:before="1"/>
        <w:ind w:left="0"/>
        <w:jc w:val="both"/>
        <w:rPr>
          <w:rFonts w:asciiTheme="minorHAnsi" w:hAnsiTheme="minorHAnsi" w:cstheme="minorHAnsi"/>
        </w:rPr>
      </w:pPr>
    </w:p>
    <w:p w14:paraId="0834B1A5" w14:textId="77777777" w:rsidR="00B039DD" w:rsidRPr="00E766EC" w:rsidRDefault="0049289F" w:rsidP="004E69C3">
      <w:pPr>
        <w:pStyle w:val="ListParagraph"/>
        <w:numPr>
          <w:ilvl w:val="1"/>
          <w:numId w:val="2"/>
        </w:numPr>
        <w:tabs>
          <w:tab w:val="left" w:pos="1021"/>
        </w:tabs>
        <w:jc w:val="both"/>
        <w:rPr>
          <w:rFonts w:asciiTheme="minorHAnsi" w:hAnsiTheme="minorHAnsi" w:cstheme="minorHAnsi"/>
          <w:sz w:val="24"/>
          <w:u w:val="none"/>
        </w:rPr>
      </w:pPr>
      <w:r w:rsidRPr="00E766EC">
        <w:rPr>
          <w:rFonts w:asciiTheme="minorHAnsi" w:hAnsiTheme="minorHAnsi" w:cstheme="minorHAnsi"/>
          <w:sz w:val="24"/>
        </w:rPr>
        <w:t>Confidentiality of Nonpublic Information</w:t>
      </w:r>
      <w:r w:rsidRPr="00E766EC">
        <w:rPr>
          <w:rFonts w:asciiTheme="minorHAnsi" w:hAnsiTheme="minorHAnsi" w:cstheme="minorHAnsi"/>
          <w:sz w:val="24"/>
          <w:u w:val="none"/>
        </w:rPr>
        <w:t>. Any nonpublic information relating to the Company is the property of the Company and the unauthorized disclosure of such information is</w:t>
      </w:r>
      <w:r w:rsidRPr="00E766EC">
        <w:rPr>
          <w:rFonts w:asciiTheme="minorHAnsi" w:hAnsiTheme="minorHAnsi" w:cstheme="minorHAnsi"/>
          <w:spacing w:val="-1"/>
          <w:sz w:val="24"/>
          <w:u w:val="none"/>
        </w:rPr>
        <w:t xml:space="preserve"> </w:t>
      </w:r>
      <w:r w:rsidRPr="00E766EC">
        <w:rPr>
          <w:rFonts w:asciiTheme="minorHAnsi" w:hAnsiTheme="minorHAnsi" w:cstheme="minorHAnsi"/>
          <w:sz w:val="24"/>
          <w:u w:val="none"/>
        </w:rPr>
        <w:t>forbidden.</w:t>
      </w:r>
    </w:p>
    <w:p w14:paraId="688FB22C" w14:textId="77777777" w:rsidR="00B039DD" w:rsidRPr="00E766EC" w:rsidRDefault="00B039DD" w:rsidP="004E69C3">
      <w:pPr>
        <w:pStyle w:val="BodyText"/>
        <w:ind w:left="0"/>
        <w:jc w:val="both"/>
        <w:rPr>
          <w:rFonts w:asciiTheme="minorHAnsi" w:hAnsiTheme="minorHAnsi" w:cstheme="minorHAnsi"/>
        </w:rPr>
      </w:pPr>
    </w:p>
    <w:p w14:paraId="6BB33AC4" w14:textId="77777777" w:rsidR="00B039DD" w:rsidRPr="00E766EC" w:rsidRDefault="0049289F" w:rsidP="004E69C3">
      <w:pPr>
        <w:pStyle w:val="ListParagraph"/>
        <w:numPr>
          <w:ilvl w:val="1"/>
          <w:numId w:val="2"/>
        </w:numPr>
        <w:tabs>
          <w:tab w:val="left" w:pos="1021"/>
        </w:tabs>
        <w:jc w:val="both"/>
        <w:rPr>
          <w:rFonts w:asciiTheme="minorHAnsi" w:hAnsiTheme="minorHAnsi" w:cstheme="minorHAnsi"/>
          <w:sz w:val="24"/>
          <w:u w:val="none"/>
        </w:rPr>
      </w:pPr>
      <w:r w:rsidRPr="00E766EC">
        <w:rPr>
          <w:rFonts w:asciiTheme="minorHAnsi" w:hAnsiTheme="minorHAnsi" w:cstheme="minorHAnsi"/>
          <w:sz w:val="24"/>
        </w:rPr>
        <w:t>Trading Window</w:t>
      </w:r>
      <w:r w:rsidRPr="00E766EC">
        <w:rPr>
          <w:rFonts w:asciiTheme="minorHAnsi" w:hAnsiTheme="minorHAnsi" w:cstheme="minorHAnsi"/>
          <w:sz w:val="24"/>
          <w:u w:val="none"/>
        </w:rPr>
        <w:t>. To ensure compliance with applicable federal and state</w:t>
      </w:r>
      <w:r w:rsidRPr="00E766EC">
        <w:rPr>
          <w:rFonts w:asciiTheme="minorHAnsi" w:hAnsiTheme="minorHAnsi" w:cstheme="minorHAnsi"/>
          <w:spacing w:val="-10"/>
          <w:sz w:val="24"/>
          <w:u w:val="none"/>
        </w:rPr>
        <w:t xml:space="preserve"> </w:t>
      </w:r>
      <w:r w:rsidRPr="00E766EC">
        <w:rPr>
          <w:rFonts w:asciiTheme="minorHAnsi" w:hAnsiTheme="minorHAnsi" w:cstheme="minorHAnsi"/>
          <w:sz w:val="24"/>
          <w:u w:val="none"/>
        </w:rPr>
        <w:t>securities</w:t>
      </w:r>
    </w:p>
    <w:p w14:paraId="55E269E9" w14:textId="6F3CA995" w:rsidR="00B039DD" w:rsidRPr="00E766EC" w:rsidRDefault="0049289F" w:rsidP="004E69C3">
      <w:pPr>
        <w:pStyle w:val="BodyText"/>
        <w:jc w:val="both"/>
        <w:rPr>
          <w:rFonts w:asciiTheme="minorHAnsi" w:hAnsiTheme="minorHAnsi" w:cstheme="minorHAnsi"/>
        </w:rPr>
      </w:pPr>
      <w:r w:rsidRPr="00E766EC">
        <w:rPr>
          <w:rFonts w:asciiTheme="minorHAnsi" w:hAnsiTheme="minorHAnsi" w:cstheme="minorHAnsi"/>
        </w:rPr>
        <w:t xml:space="preserve">laws, the Company’s policy is as follows: All </w:t>
      </w:r>
      <w:r w:rsidR="00BF42B2">
        <w:rPr>
          <w:rFonts w:asciiTheme="minorHAnsi" w:hAnsiTheme="minorHAnsi" w:cstheme="minorHAnsi"/>
        </w:rPr>
        <w:t>directors, officers and other individuals designated from time to time by the Compliance Officer (collectively, “</w:t>
      </w:r>
      <w:r w:rsidR="00BF42B2">
        <w:rPr>
          <w:rFonts w:asciiTheme="minorHAnsi" w:hAnsiTheme="minorHAnsi" w:cstheme="minorHAnsi"/>
          <w:b/>
          <w:bCs/>
        </w:rPr>
        <w:t>Covered Persons</w:t>
      </w:r>
      <w:r w:rsidR="00BF42B2">
        <w:rPr>
          <w:rFonts w:asciiTheme="minorHAnsi" w:hAnsiTheme="minorHAnsi" w:cstheme="minorHAnsi"/>
        </w:rPr>
        <w:t>”)</w:t>
      </w:r>
      <w:r w:rsidRPr="00E766EC">
        <w:rPr>
          <w:rFonts w:asciiTheme="minorHAnsi" w:hAnsiTheme="minorHAnsi" w:cstheme="minorHAnsi"/>
        </w:rPr>
        <w:t xml:space="preserve"> </w:t>
      </w:r>
      <w:r w:rsidR="004E6E72" w:rsidRPr="00E766EC">
        <w:rPr>
          <w:rFonts w:asciiTheme="minorHAnsi" w:hAnsiTheme="minorHAnsi" w:cstheme="minorHAnsi"/>
        </w:rPr>
        <w:t xml:space="preserve">may </w:t>
      </w:r>
      <w:r w:rsidR="00955822">
        <w:rPr>
          <w:rFonts w:asciiTheme="minorHAnsi" w:hAnsiTheme="minorHAnsi" w:cstheme="minorHAnsi"/>
        </w:rPr>
        <w:t xml:space="preserve">not </w:t>
      </w:r>
      <w:r w:rsidRPr="00E766EC">
        <w:rPr>
          <w:rFonts w:asciiTheme="minorHAnsi" w:hAnsiTheme="minorHAnsi" w:cstheme="minorHAnsi"/>
        </w:rPr>
        <w:t xml:space="preserve">conduct transactions involving the purchase or sale of the Company’s securities during </w:t>
      </w:r>
      <w:r w:rsidR="004E6E72" w:rsidRPr="00E766EC">
        <w:rPr>
          <w:rFonts w:asciiTheme="minorHAnsi" w:hAnsiTheme="minorHAnsi" w:cstheme="minorHAnsi"/>
        </w:rPr>
        <w:t xml:space="preserve">periods of time in which </w:t>
      </w:r>
      <w:r w:rsidRPr="00E766EC">
        <w:rPr>
          <w:rFonts w:asciiTheme="minorHAnsi" w:hAnsiTheme="minorHAnsi" w:cstheme="minorHAnsi"/>
        </w:rPr>
        <w:t>the “trading window”</w:t>
      </w:r>
      <w:r w:rsidR="004E6E72" w:rsidRPr="00E766EC">
        <w:rPr>
          <w:rFonts w:asciiTheme="minorHAnsi" w:hAnsiTheme="minorHAnsi" w:cstheme="minorHAnsi"/>
        </w:rPr>
        <w:t xml:space="preserve"> is closed due to a “</w:t>
      </w:r>
      <w:r w:rsidR="00214CD3" w:rsidRPr="00E766EC">
        <w:rPr>
          <w:rFonts w:asciiTheme="minorHAnsi" w:hAnsiTheme="minorHAnsi" w:cstheme="minorHAnsi"/>
          <w:b/>
        </w:rPr>
        <w:t>B</w:t>
      </w:r>
      <w:r w:rsidR="004E6E72" w:rsidRPr="00E766EC">
        <w:rPr>
          <w:rFonts w:asciiTheme="minorHAnsi" w:hAnsiTheme="minorHAnsi" w:cstheme="minorHAnsi"/>
          <w:b/>
        </w:rPr>
        <w:t xml:space="preserve">lackout </w:t>
      </w:r>
      <w:r w:rsidR="00214CD3" w:rsidRPr="00E766EC">
        <w:rPr>
          <w:rFonts w:asciiTheme="minorHAnsi" w:hAnsiTheme="minorHAnsi" w:cstheme="minorHAnsi"/>
          <w:b/>
        </w:rPr>
        <w:t>P</w:t>
      </w:r>
      <w:r w:rsidR="004E6E72" w:rsidRPr="00E766EC">
        <w:rPr>
          <w:rFonts w:asciiTheme="minorHAnsi" w:hAnsiTheme="minorHAnsi" w:cstheme="minorHAnsi"/>
          <w:b/>
        </w:rPr>
        <w:t>eriod</w:t>
      </w:r>
      <w:r w:rsidR="004E6E72" w:rsidRPr="00E766EC">
        <w:rPr>
          <w:rFonts w:asciiTheme="minorHAnsi" w:hAnsiTheme="minorHAnsi" w:cstheme="minorHAnsi"/>
        </w:rPr>
        <w:t>.”</w:t>
      </w:r>
      <w:r w:rsidRPr="00E766EC">
        <w:rPr>
          <w:rFonts w:asciiTheme="minorHAnsi" w:hAnsiTheme="minorHAnsi" w:cstheme="minorHAnsi"/>
        </w:rPr>
        <w:t xml:space="preserve"> In the absence of </w:t>
      </w:r>
      <w:r w:rsidR="00955822">
        <w:rPr>
          <w:rFonts w:asciiTheme="minorHAnsi" w:hAnsiTheme="minorHAnsi" w:cstheme="minorHAnsi"/>
        </w:rPr>
        <w:t xml:space="preserve">such </w:t>
      </w:r>
      <w:r w:rsidR="00BF42B2">
        <w:rPr>
          <w:rFonts w:asciiTheme="minorHAnsi" w:hAnsiTheme="minorHAnsi" w:cstheme="minorHAnsi"/>
        </w:rPr>
        <w:t>Covered Person’s</w:t>
      </w:r>
      <w:r w:rsidR="00955822">
        <w:rPr>
          <w:rFonts w:asciiTheme="minorHAnsi" w:hAnsiTheme="minorHAnsi" w:cstheme="minorHAnsi"/>
        </w:rPr>
        <w:t xml:space="preserve"> possession of </w:t>
      </w:r>
      <w:r w:rsidRPr="00E766EC">
        <w:rPr>
          <w:rFonts w:asciiTheme="minorHAnsi" w:hAnsiTheme="minorHAnsi" w:cstheme="minorHAnsi"/>
        </w:rPr>
        <w:t xml:space="preserve">Material Nonpublic Information, the </w:t>
      </w:r>
      <w:r w:rsidR="00214CD3" w:rsidRPr="00E766EC">
        <w:rPr>
          <w:rFonts w:asciiTheme="minorHAnsi" w:hAnsiTheme="minorHAnsi" w:cstheme="minorHAnsi"/>
        </w:rPr>
        <w:t>B</w:t>
      </w:r>
      <w:r w:rsidR="004E6E72" w:rsidRPr="00E766EC">
        <w:rPr>
          <w:rFonts w:asciiTheme="minorHAnsi" w:hAnsiTheme="minorHAnsi" w:cstheme="minorHAnsi"/>
        </w:rPr>
        <w:t xml:space="preserve">lackout </w:t>
      </w:r>
      <w:r w:rsidR="00214CD3" w:rsidRPr="00E766EC">
        <w:rPr>
          <w:rFonts w:asciiTheme="minorHAnsi" w:hAnsiTheme="minorHAnsi" w:cstheme="minorHAnsi"/>
        </w:rPr>
        <w:t>P</w:t>
      </w:r>
      <w:r w:rsidR="004E6E72" w:rsidRPr="00E766EC">
        <w:rPr>
          <w:rFonts w:asciiTheme="minorHAnsi" w:hAnsiTheme="minorHAnsi" w:cstheme="minorHAnsi"/>
        </w:rPr>
        <w:t xml:space="preserve">eriod begins </w:t>
      </w:r>
      <w:r w:rsidR="00D95356">
        <w:rPr>
          <w:rFonts w:asciiTheme="minorHAnsi" w:hAnsiTheme="minorHAnsi" w:cstheme="minorHAnsi"/>
        </w:rPr>
        <w:t>two weeks prior to the scheduled quarterly Audit Committee meeting for the reporting period and</w:t>
      </w:r>
      <w:r w:rsidR="004E6E72" w:rsidRPr="00E766EC">
        <w:rPr>
          <w:rFonts w:asciiTheme="minorHAnsi" w:hAnsiTheme="minorHAnsi" w:cstheme="minorHAnsi"/>
        </w:rPr>
        <w:t xml:space="preserve"> ends </w:t>
      </w:r>
      <w:r w:rsidRPr="00E766EC">
        <w:rPr>
          <w:rFonts w:asciiTheme="minorHAnsi" w:hAnsiTheme="minorHAnsi" w:cstheme="minorHAnsi"/>
        </w:rPr>
        <w:t xml:space="preserve">at the </w:t>
      </w:r>
      <w:r w:rsidR="00647685">
        <w:rPr>
          <w:rFonts w:asciiTheme="minorHAnsi" w:hAnsiTheme="minorHAnsi" w:cstheme="minorHAnsi"/>
        </w:rPr>
        <w:t>close</w:t>
      </w:r>
      <w:r w:rsidRPr="00E766EC">
        <w:rPr>
          <w:rFonts w:asciiTheme="minorHAnsi" w:hAnsiTheme="minorHAnsi" w:cstheme="minorHAnsi"/>
        </w:rPr>
        <w:t xml:space="preserve"> of business on the second Trading Day following the date of public disclosure of the financial results for a particular fiscal quarter or year.</w:t>
      </w:r>
    </w:p>
    <w:p w14:paraId="6A060175" w14:textId="77777777" w:rsidR="00B039DD" w:rsidRPr="00E766EC" w:rsidRDefault="00B039DD" w:rsidP="004E69C3">
      <w:pPr>
        <w:pStyle w:val="BodyText"/>
        <w:ind w:left="0"/>
        <w:jc w:val="both"/>
        <w:rPr>
          <w:rFonts w:asciiTheme="minorHAnsi" w:hAnsiTheme="minorHAnsi" w:cstheme="minorHAnsi"/>
        </w:rPr>
      </w:pPr>
    </w:p>
    <w:p w14:paraId="0372E257" w14:textId="77777777" w:rsidR="00B039DD" w:rsidRPr="00E766EC" w:rsidRDefault="00734463" w:rsidP="004E69C3">
      <w:pPr>
        <w:pStyle w:val="BodyText"/>
        <w:spacing w:before="1"/>
        <w:jc w:val="both"/>
        <w:rPr>
          <w:rFonts w:asciiTheme="minorHAnsi" w:hAnsiTheme="minorHAnsi" w:cstheme="minorHAnsi"/>
        </w:rPr>
      </w:pPr>
      <w:r w:rsidRPr="00E766EC">
        <w:rPr>
          <w:rFonts w:asciiTheme="minorHAnsi" w:hAnsiTheme="minorHAnsi" w:cstheme="minorHAnsi"/>
        </w:rPr>
        <w:t>T</w:t>
      </w:r>
      <w:r w:rsidR="0049289F" w:rsidRPr="00E766EC">
        <w:rPr>
          <w:rFonts w:asciiTheme="minorHAnsi" w:hAnsiTheme="minorHAnsi" w:cstheme="minorHAnsi"/>
        </w:rPr>
        <w:t xml:space="preserve">he </w:t>
      </w:r>
      <w:r w:rsidR="00214CD3" w:rsidRPr="00E766EC">
        <w:rPr>
          <w:rFonts w:asciiTheme="minorHAnsi" w:hAnsiTheme="minorHAnsi" w:cstheme="minorHAnsi"/>
        </w:rPr>
        <w:t>B</w:t>
      </w:r>
      <w:r w:rsidR="004E6E72" w:rsidRPr="00E766EC">
        <w:rPr>
          <w:rFonts w:asciiTheme="minorHAnsi" w:hAnsiTheme="minorHAnsi" w:cstheme="minorHAnsi"/>
        </w:rPr>
        <w:t xml:space="preserve">lackout </w:t>
      </w:r>
      <w:r w:rsidR="00214CD3" w:rsidRPr="00E766EC">
        <w:rPr>
          <w:rFonts w:asciiTheme="minorHAnsi" w:hAnsiTheme="minorHAnsi" w:cstheme="minorHAnsi"/>
        </w:rPr>
        <w:t>P</w:t>
      </w:r>
      <w:r w:rsidR="004E6E72" w:rsidRPr="00E766EC">
        <w:rPr>
          <w:rFonts w:asciiTheme="minorHAnsi" w:hAnsiTheme="minorHAnsi" w:cstheme="minorHAnsi"/>
        </w:rPr>
        <w:t xml:space="preserve">eriod </w:t>
      </w:r>
      <w:r w:rsidR="00214CD3" w:rsidRPr="00E766EC">
        <w:rPr>
          <w:rFonts w:asciiTheme="minorHAnsi" w:hAnsiTheme="minorHAnsi" w:cstheme="minorHAnsi"/>
        </w:rPr>
        <w:t xml:space="preserve">may be </w:t>
      </w:r>
      <w:r w:rsidR="004E6E72" w:rsidRPr="00E766EC">
        <w:rPr>
          <w:rFonts w:asciiTheme="minorHAnsi" w:hAnsiTheme="minorHAnsi" w:cstheme="minorHAnsi"/>
        </w:rPr>
        <w:t>extended or otherwise appl</w:t>
      </w:r>
      <w:r w:rsidR="00214CD3" w:rsidRPr="00E766EC">
        <w:rPr>
          <w:rFonts w:asciiTheme="minorHAnsi" w:hAnsiTheme="minorHAnsi" w:cstheme="minorHAnsi"/>
        </w:rPr>
        <w:t xml:space="preserve">y at any time </w:t>
      </w:r>
      <w:r w:rsidR="0049289F" w:rsidRPr="00E766EC">
        <w:rPr>
          <w:rFonts w:asciiTheme="minorHAnsi" w:hAnsiTheme="minorHAnsi" w:cstheme="minorHAnsi"/>
        </w:rPr>
        <w:t>due to the existence of Material Nonpublic Information</w:t>
      </w:r>
      <w:r w:rsidR="004E6E72" w:rsidRPr="00E766EC">
        <w:rPr>
          <w:rFonts w:asciiTheme="minorHAnsi" w:hAnsiTheme="minorHAnsi" w:cstheme="minorHAnsi"/>
        </w:rPr>
        <w:t xml:space="preserve"> not related to the public disclosure of financial results</w:t>
      </w:r>
      <w:r w:rsidRPr="00E766EC">
        <w:rPr>
          <w:rFonts w:asciiTheme="minorHAnsi" w:hAnsiTheme="minorHAnsi" w:cstheme="minorHAnsi"/>
        </w:rPr>
        <w:t>.  In this case a notification from</w:t>
      </w:r>
      <w:r w:rsidR="004F3B1A" w:rsidRPr="00E766EC">
        <w:rPr>
          <w:rFonts w:asciiTheme="minorHAnsi" w:hAnsiTheme="minorHAnsi" w:cstheme="minorHAnsi"/>
        </w:rPr>
        <w:t xml:space="preserve"> </w:t>
      </w:r>
      <w:r w:rsidR="0049289F" w:rsidRPr="00E766EC">
        <w:rPr>
          <w:rFonts w:asciiTheme="minorHAnsi" w:hAnsiTheme="minorHAnsi" w:cstheme="minorHAnsi"/>
        </w:rPr>
        <w:t>the Compliance Officer</w:t>
      </w:r>
      <w:r w:rsidRPr="00E766EC">
        <w:rPr>
          <w:rFonts w:asciiTheme="minorHAnsi" w:hAnsiTheme="minorHAnsi" w:cstheme="minorHAnsi"/>
        </w:rPr>
        <w:t xml:space="preserve"> will be issued</w:t>
      </w:r>
      <w:r w:rsidR="0049289F" w:rsidRPr="00E766EC">
        <w:rPr>
          <w:rFonts w:asciiTheme="minorHAnsi" w:hAnsiTheme="minorHAnsi" w:cstheme="minorHAnsi"/>
        </w:rPr>
        <w:t>.</w:t>
      </w:r>
    </w:p>
    <w:p w14:paraId="6961C83E" w14:textId="77777777" w:rsidR="00B039DD" w:rsidRPr="00E766EC" w:rsidRDefault="00B039DD" w:rsidP="004E69C3">
      <w:pPr>
        <w:pStyle w:val="BodyText"/>
        <w:ind w:left="0"/>
        <w:jc w:val="both"/>
        <w:rPr>
          <w:rFonts w:asciiTheme="minorHAnsi" w:hAnsiTheme="minorHAnsi" w:cstheme="minorHAnsi"/>
        </w:rPr>
      </w:pPr>
    </w:p>
    <w:p w14:paraId="674BEBE8" w14:textId="685A4B40" w:rsidR="00B039DD" w:rsidRPr="00E766EC" w:rsidRDefault="0049289F" w:rsidP="004E69C3">
      <w:pPr>
        <w:pStyle w:val="BodyText"/>
        <w:jc w:val="both"/>
        <w:rPr>
          <w:rFonts w:asciiTheme="minorHAnsi" w:hAnsiTheme="minorHAnsi" w:cstheme="minorHAnsi"/>
        </w:rPr>
      </w:pPr>
      <w:r w:rsidRPr="00E766EC">
        <w:rPr>
          <w:rFonts w:asciiTheme="minorHAnsi" w:hAnsiTheme="minorHAnsi" w:cstheme="minorHAnsi"/>
        </w:rPr>
        <w:t xml:space="preserve">From time to time, the Company may also recommend that </w:t>
      </w:r>
      <w:r w:rsidR="00BF42B2">
        <w:rPr>
          <w:rFonts w:asciiTheme="minorHAnsi" w:hAnsiTheme="minorHAnsi" w:cstheme="minorHAnsi"/>
        </w:rPr>
        <w:t>Covered Persons</w:t>
      </w:r>
      <w:r w:rsidRPr="00E766EC">
        <w:rPr>
          <w:rFonts w:asciiTheme="minorHAnsi" w:hAnsiTheme="minorHAnsi" w:cstheme="minorHAnsi"/>
        </w:rPr>
        <w:t xml:space="preserve"> suspend trading because of developments known to the Company and not yet disclosed to the public. In such </w:t>
      </w:r>
      <w:r w:rsidRPr="00E766EC">
        <w:rPr>
          <w:rFonts w:asciiTheme="minorHAnsi" w:hAnsiTheme="minorHAnsi" w:cstheme="minorHAnsi"/>
        </w:rPr>
        <w:lastRenderedPageBreak/>
        <w:t>event, such persons are advised not to engage in any transaction involving the purchase or sale of the Company’s securities during such period and should not disclose to others the fact of such suspension of trading.</w:t>
      </w:r>
    </w:p>
    <w:p w14:paraId="66A60702" w14:textId="77777777" w:rsidR="00B039DD" w:rsidRPr="00E766EC" w:rsidRDefault="00B039DD" w:rsidP="004E69C3">
      <w:pPr>
        <w:pStyle w:val="BodyText"/>
        <w:ind w:left="0"/>
        <w:jc w:val="both"/>
        <w:rPr>
          <w:rFonts w:asciiTheme="minorHAnsi" w:hAnsiTheme="minorHAnsi" w:cstheme="minorHAnsi"/>
        </w:rPr>
      </w:pPr>
    </w:p>
    <w:p w14:paraId="0A67CEDE" w14:textId="2B8301C4" w:rsidR="00B039DD" w:rsidRDefault="0049289F" w:rsidP="004E69C3">
      <w:pPr>
        <w:pStyle w:val="BodyText"/>
        <w:spacing w:before="1"/>
        <w:jc w:val="both"/>
        <w:rPr>
          <w:rFonts w:asciiTheme="minorHAnsi" w:hAnsiTheme="minorHAnsi" w:cstheme="minorHAnsi"/>
        </w:rPr>
      </w:pPr>
      <w:r w:rsidRPr="00E766EC">
        <w:rPr>
          <w:rFonts w:asciiTheme="minorHAnsi" w:hAnsiTheme="minorHAnsi" w:cstheme="minorHAnsi"/>
        </w:rPr>
        <w:t xml:space="preserve">It should be noted, however, that even during </w:t>
      </w:r>
      <w:r w:rsidR="00214CD3" w:rsidRPr="00E766EC">
        <w:rPr>
          <w:rFonts w:asciiTheme="minorHAnsi" w:hAnsiTheme="minorHAnsi" w:cstheme="minorHAnsi"/>
        </w:rPr>
        <w:t>an open</w:t>
      </w:r>
      <w:r w:rsidRPr="00E766EC">
        <w:rPr>
          <w:rFonts w:asciiTheme="minorHAnsi" w:hAnsiTheme="minorHAnsi" w:cstheme="minorHAnsi"/>
        </w:rPr>
        <w:t xml:space="preserve"> trading window, any person possessing Material Nonpublic Information concerning the Company should not engage in any</w:t>
      </w:r>
      <w:r w:rsidR="00214CD3" w:rsidRPr="00E766EC">
        <w:rPr>
          <w:rFonts w:asciiTheme="minorHAnsi" w:hAnsiTheme="minorHAnsi" w:cstheme="minorHAnsi"/>
        </w:rPr>
        <w:t xml:space="preserve"> </w:t>
      </w:r>
      <w:r w:rsidRPr="00E766EC">
        <w:rPr>
          <w:rFonts w:asciiTheme="minorHAnsi" w:hAnsiTheme="minorHAnsi" w:cstheme="minorHAnsi"/>
        </w:rPr>
        <w:t xml:space="preserve">transactions in the Company’s securities until such information has been known publicly for at least </w:t>
      </w:r>
      <w:r w:rsidR="00BF42B2">
        <w:rPr>
          <w:rFonts w:asciiTheme="minorHAnsi" w:hAnsiTheme="minorHAnsi" w:cstheme="minorHAnsi"/>
        </w:rPr>
        <w:t>two</w:t>
      </w:r>
      <w:r w:rsidR="00BF42B2" w:rsidRPr="00E766EC">
        <w:rPr>
          <w:rFonts w:asciiTheme="minorHAnsi" w:hAnsiTheme="minorHAnsi" w:cstheme="minorHAnsi"/>
        </w:rPr>
        <w:t xml:space="preserve"> </w:t>
      </w:r>
      <w:r w:rsidRPr="00E766EC">
        <w:rPr>
          <w:rFonts w:asciiTheme="minorHAnsi" w:hAnsiTheme="minorHAnsi" w:cstheme="minorHAnsi"/>
        </w:rPr>
        <w:t>Trading Day</w:t>
      </w:r>
      <w:r w:rsidR="00BF42B2">
        <w:rPr>
          <w:rFonts w:asciiTheme="minorHAnsi" w:hAnsiTheme="minorHAnsi" w:cstheme="minorHAnsi"/>
        </w:rPr>
        <w:t>s</w:t>
      </w:r>
      <w:r w:rsidRPr="00E766EC">
        <w:rPr>
          <w:rFonts w:asciiTheme="minorHAnsi" w:hAnsiTheme="minorHAnsi" w:cstheme="minorHAnsi"/>
        </w:rPr>
        <w:t xml:space="preserve">, </w:t>
      </w:r>
      <w:proofErr w:type="gramStart"/>
      <w:r w:rsidRPr="00E766EC">
        <w:rPr>
          <w:rFonts w:asciiTheme="minorHAnsi" w:hAnsiTheme="minorHAnsi" w:cstheme="minorHAnsi"/>
        </w:rPr>
        <w:t>whether or not</w:t>
      </w:r>
      <w:proofErr w:type="gramEnd"/>
      <w:r w:rsidRPr="00E766EC">
        <w:rPr>
          <w:rFonts w:asciiTheme="minorHAnsi" w:hAnsiTheme="minorHAnsi" w:cstheme="minorHAnsi"/>
        </w:rPr>
        <w:t xml:space="preserve"> the Company has recommended a suspension of trading to that person. Trading in the Company’s securities during the trading window should </w:t>
      </w:r>
      <w:r w:rsidRPr="00E766EC">
        <w:rPr>
          <w:rFonts w:asciiTheme="minorHAnsi" w:hAnsiTheme="minorHAnsi" w:cstheme="minorHAnsi"/>
          <w:b/>
          <w:u w:val="thick"/>
        </w:rPr>
        <w:t>not</w:t>
      </w:r>
      <w:r w:rsidRPr="00E766EC">
        <w:rPr>
          <w:rFonts w:asciiTheme="minorHAnsi" w:hAnsiTheme="minorHAnsi" w:cstheme="minorHAnsi"/>
          <w:b/>
        </w:rPr>
        <w:t xml:space="preserve"> </w:t>
      </w:r>
      <w:r w:rsidRPr="00E766EC">
        <w:rPr>
          <w:rFonts w:asciiTheme="minorHAnsi" w:hAnsiTheme="minorHAnsi" w:cstheme="minorHAnsi"/>
        </w:rPr>
        <w:t xml:space="preserve">be considered a “safe harbor,” and all directors, officers and other persons should </w:t>
      </w:r>
      <w:proofErr w:type="gramStart"/>
      <w:r w:rsidRPr="00E766EC">
        <w:rPr>
          <w:rFonts w:asciiTheme="minorHAnsi" w:hAnsiTheme="minorHAnsi" w:cstheme="minorHAnsi"/>
        </w:rPr>
        <w:t>use good judgment at all times</w:t>
      </w:r>
      <w:proofErr w:type="gramEnd"/>
      <w:r w:rsidRPr="00E766EC">
        <w:rPr>
          <w:rFonts w:asciiTheme="minorHAnsi" w:hAnsiTheme="minorHAnsi" w:cstheme="minorHAnsi"/>
        </w:rPr>
        <w:t>.</w:t>
      </w:r>
    </w:p>
    <w:p w14:paraId="30B6EF60" w14:textId="77777777" w:rsidR="00D331EA" w:rsidRPr="00E766EC" w:rsidRDefault="00D331EA" w:rsidP="004E69C3">
      <w:pPr>
        <w:pStyle w:val="BodyText"/>
        <w:spacing w:before="1"/>
        <w:jc w:val="both"/>
        <w:rPr>
          <w:rFonts w:asciiTheme="minorHAnsi" w:hAnsiTheme="minorHAnsi" w:cstheme="minorHAnsi"/>
        </w:rPr>
      </w:pPr>
    </w:p>
    <w:p w14:paraId="3CFE7AB7" w14:textId="3F792C05" w:rsidR="00B039DD" w:rsidRPr="00BF42B2" w:rsidRDefault="0049289F" w:rsidP="004E69C3">
      <w:pPr>
        <w:pStyle w:val="ListParagraph"/>
        <w:numPr>
          <w:ilvl w:val="1"/>
          <w:numId w:val="2"/>
        </w:numPr>
        <w:tabs>
          <w:tab w:val="left" w:pos="1021"/>
        </w:tabs>
        <w:spacing w:before="68"/>
        <w:jc w:val="both"/>
        <w:rPr>
          <w:rFonts w:asciiTheme="minorHAnsi" w:hAnsiTheme="minorHAnsi" w:cstheme="minorHAnsi"/>
          <w:sz w:val="24"/>
          <w:u w:val="none"/>
        </w:rPr>
      </w:pPr>
      <w:r w:rsidRPr="00E766EC">
        <w:rPr>
          <w:rFonts w:asciiTheme="minorHAnsi" w:hAnsiTheme="minorHAnsi" w:cstheme="minorHAnsi"/>
          <w:sz w:val="24"/>
        </w:rPr>
        <w:t>Preclearance of Trades</w:t>
      </w:r>
      <w:r w:rsidRPr="00E766EC">
        <w:rPr>
          <w:rFonts w:asciiTheme="minorHAnsi" w:hAnsiTheme="minorHAnsi" w:cstheme="minorHAnsi"/>
          <w:sz w:val="24"/>
          <w:u w:val="none"/>
        </w:rPr>
        <w:t xml:space="preserve">. </w:t>
      </w:r>
      <w:r w:rsidR="00BF42B2">
        <w:rPr>
          <w:rFonts w:asciiTheme="minorHAnsi" w:hAnsiTheme="minorHAnsi" w:cstheme="minorHAnsi"/>
          <w:sz w:val="24"/>
          <w:u w:val="none"/>
        </w:rPr>
        <w:t>All Covered Persons</w:t>
      </w:r>
      <w:r w:rsidRPr="00E766EC">
        <w:rPr>
          <w:rFonts w:asciiTheme="minorHAnsi" w:hAnsiTheme="minorHAnsi" w:cstheme="minorHAnsi"/>
          <w:sz w:val="24"/>
          <w:u w:val="none"/>
        </w:rPr>
        <w:t xml:space="preserve"> </w:t>
      </w:r>
      <w:r w:rsidR="00BF42B2">
        <w:rPr>
          <w:rFonts w:asciiTheme="minorHAnsi" w:hAnsiTheme="minorHAnsi" w:cstheme="minorHAnsi"/>
          <w:sz w:val="24"/>
          <w:u w:val="none"/>
        </w:rPr>
        <w:t>must</w:t>
      </w:r>
      <w:r w:rsidR="00BF42B2" w:rsidRPr="00E766EC">
        <w:rPr>
          <w:rFonts w:asciiTheme="minorHAnsi" w:hAnsiTheme="minorHAnsi" w:cstheme="minorHAnsi"/>
          <w:sz w:val="24"/>
          <w:u w:val="none"/>
        </w:rPr>
        <w:t xml:space="preserve"> </w:t>
      </w:r>
      <w:r w:rsidRPr="00E766EC">
        <w:rPr>
          <w:rFonts w:asciiTheme="minorHAnsi" w:hAnsiTheme="minorHAnsi" w:cstheme="minorHAnsi"/>
          <w:sz w:val="24"/>
          <w:u w:val="none"/>
        </w:rPr>
        <w:t>refrain from trading in the Company’s securities, even during</w:t>
      </w:r>
      <w:r w:rsidRPr="00E766EC">
        <w:rPr>
          <w:rFonts w:asciiTheme="minorHAnsi" w:hAnsiTheme="minorHAnsi" w:cstheme="minorHAnsi"/>
          <w:spacing w:val="-20"/>
          <w:sz w:val="24"/>
          <w:u w:val="none"/>
        </w:rPr>
        <w:t xml:space="preserve"> </w:t>
      </w:r>
      <w:r w:rsidRPr="00BF42B2">
        <w:rPr>
          <w:rFonts w:asciiTheme="minorHAnsi" w:hAnsiTheme="minorHAnsi" w:cstheme="minorHAnsi"/>
          <w:sz w:val="24"/>
          <w:szCs w:val="24"/>
          <w:u w:val="none"/>
        </w:rPr>
        <w:t>the</w:t>
      </w:r>
      <w:r w:rsidR="00BF42B2" w:rsidRPr="00BF42B2">
        <w:rPr>
          <w:rFonts w:asciiTheme="minorHAnsi" w:hAnsiTheme="minorHAnsi" w:cstheme="minorHAnsi"/>
          <w:sz w:val="24"/>
          <w:szCs w:val="24"/>
          <w:u w:val="none"/>
        </w:rPr>
        <w:t xml:space="preserve"> </w:t>
      </w:r>
      <w:r w:rsidRPr="00BF42B2">
        <w:rPr>
          <w:rFonts w:asciiTheme="minorHAnsi" w:hAnsiTheme="minorHAnsi" w:cstheme="minorHAnsi"/>
          <w:sz w:val="24"/>
          <w:szCs w:val="24"/>
          <w:u w:val="none"/>
        </w:rPr>
        <w:t xml:space="preserve">trading window, without first complying with the Company’s “preclearance” process. Each such person should contact the Company’s Insider Trading Compliance Officer prior to commencing any trade in the Company’s securities. The Company may find it necessary, from time to time, to require compliance with the preclearance process from other employees, </w:t>
      </w:r>
      <w:proofErr w:type="gramStart"/>
      <w:r w:rsidRPr="00BF42B2">
        <w:rPr>
          <w:rFonts w:asciiTheme="minorHAnsi" w:hAnsiTheme="minorHAnsi" w:cstheme="minorHAnsi"/>
          <w:sz w:val="24"/>
          <w:szCs w:val="24"/>
          <w:u w:val="none"/>
        </w:rPr>
        <w:t>consultants</w:t>
      </w:r>
      <w:proofErr w:type="gramEnd"/>
      <w:r w:rsidRPr="00BF42B2">
        <w:rPr>
          <w:rFonts w:asciiTheme="minorHAnsi" w:hAnsiTheme="minorHAnsi" w:cstheme="minorHAnsi"/>
          <w:sz w:val="24"/>
          <w:szCs w:val="24"/>
          <w:u w:val="none"/>
        </w:rPr>
        <w:t xml:space="preserve"> and contractors.</w:t>
      </w:r>
    </w:p>
    <w:p w14:paraId="09B68E5C" w14:textId="77777777" w:rsidR="00B039DD" w:rsidRPr="00E766EC" w:rsidRDefault="00B039DD" w:rsidP="004E69C3">
      <w:pPr>
        <w:pStyle w:val="BodyText"/>
        <w:ind w:left="0"/>
        <w:jc w:val="both"/>
        <w:rPr>
          <w:rFonts w:asciiTheme="minorHAnsi" w:hAnsiTheme="minorHAnsi" w:cstheme="minorHAnsi"/>
        </w:rPr>
      </w:pPr>
    </w:p>
    <w:p w14:paraId="3B8004A9" w14:textId="77777777" w:rsidR="00B039DD" w:rsidRPr="00856624" w:rsidRDefault="0049289F" w:rsidP="004E69C3">
      <w:pPr>
        <w:pStyle w:val="ListParagraph"/>
        <w:numPr>
          <w:ilvl w:val="0"/>
          <w:numId w:val="2"/>
        </w:numPr>
        <w:tabs>
          <w:tab w:val="left" w:pos="1020"/>
          <w:tab w:val="left" w:pos="1021"/>
        </w:tabs>
        <w:jc w:val="both"/>
        <w:rPr>
          <w:rFonts w:asciiTheme="minorHAnsi" w:hAnsiTheme="minorHAnsi" w:cstheme="minorHAnsi"/>
          <w:b/>
          <w:bCs/>
          <w:sz w:val="24"/>
          <w:u w:val="none"/>
        </w:rPr>
      </w:pPr>
      <w:r w:rsidRPr="00856624">
        <w:rPr>
          <w:rFonts w:asciiTheme="minorHAnsi" w:hAnsiTheme="minorHAnsi" w:cstheme="minorHAnsi"/>
          <w:b/>
          <w:bCs/>
          <w:sz w:val="24"/>
          <w:u w:val="none"/>
        </w:rPr>
        <w:t>Definition of “Material Nonpublic Information”</w:t>
      </w:r>
    </w:p>
    <w:p w14:paraId="393FABCD" w14:textId="77777777" w:rsidR="00B039DD" w:rsidRPr="00E766EC" w:rsidRDefault="00B039DD" w:rsidP="004E69C3">
      <w:pPr>
        <w:pStyle w:val="BodyText"/>
        <w:ind w:left="0"/>
        <w:jc w:val="both"/>
        <w:rPr>
          <w:rFonts w:asciiTheme="minorHAnsi" w:hAnsiTheme="minorHAnsi" w:cstheme="minorHAnsi"/>
        </w:rPr>
      </w:pPr>
    </w:p>
    <w:p w14:paraId="5AAE9A3C" w14:textId="77777777" w:rsidR="00B039DD" w:rsidRPr="00E766EC" w:rsidRDefault="0049289F" w:rsidP="004E69C3">
      <w:pPr>
        <w:pStyle w:val="BodyText"/>
        <w:ind w:left="300" w:firstLine="719"/>
        <w:jc w:val="both"/>
        <w:rPr>
          <w:rFonts w:asciiTheme="minorHAnsi" w:hAnsiTheme="minorHAnsi" w:cstheme="minorHAnsi"/>
        </w:rPr>
      </w:pPr>
      <w:r w:rsidRPr="00E766EC">
        <w:rPr>
          <w:rFonts w:asciiTheme="minorHAnsi" w:hAnsiTheme="minorHAnsi" w:cstheme="minorHAnsi"/>
        </w:rPr>
        <w:t xml:space="preserve">It is not possible to define all categories of material information. However, information should be regarded as material if there is a reasonable likelihood that it would be considered important to an investor in making an investment decision regarding the purchase or sale of stock or other securities. Either positive or negative information may be material. Nonpublic information is information that has not been previously disclosed to the </w:t>
      </w:r>
      <w:proofErr w:type="gramStart"/>
      <w:r w:rsidRPr="00E766EC">
        <w:rPr>
          <w:rFonts w:asciiTheme="minorHAnsi" w:hAnsiTheme="minorHAnsi" w:cstheme="minorHAnsi"/>
        </w:rPr>
        <w:t>general public</w:t>
      </w:r>
      <w:proofErr w:type="gramEnd"/>
      <w:r w:rsidRPr="00E766EC">
        <w:rPr>
          <w:rFonts w:asciiTheme="minorHAnsi" w:hAnsiTheme="minorHAnsi" w:cstheme="minorHAnsi"/>
        </w:rPr>
        <w:t xml:space="preserve"> and is otherwise not available to the general public.</w:t>
      </w:r>
    </w:p>
    <w:p w14:paraId="775FC390" w14:textId="77777777" w:rsidR="00B039DD" w:rsidRPr="00E766EC" w:rsidRDefault="00B039DD" w:rsidP="004E69C3">
      <w:pPr>
        <w:pStyle w:val="BodyText"/>
        <w:spacing w:before="1"/>
        <w:ind w:left="0"/>
        <w:jc w:val="both"/>
        <w:rPr>
          <w:rFonts w:asciiTheme="minorHAnsi" w:hAnsiTheme="minorHAnsi" w:cstheme="minorHAnsi"/>
        </w:rPr>
      </w:pPr>
    </w:p>
    <w:p w14:paraId="2FDE6E5D" w14:textId="77777777" w:rsidR="00B039DD" w:rsidRPr="00E766EC" w:rsidRDefault="0049289F" w:rsidP="004E69C3">
      <w:pPr>
        <w:pStyle w:val="BodyText"/>
        <w:ind w:left="300" w:firstLine="719"/>
        <w:jc w:val="both"/>
        <w:rPr>
          <w:rFonts w:asciiTheme="minorHAnsi" w:hAnsiTheme="minorHAnsi" w:cstheme="minorHAnsi"/>
        </w:rPr>
      </w:pPr>
      <w:r w:rsidRPr="00E766EC">
        <w:rPr>
          <w:rFonts w:asciiTheme="minorHAnsi" w:hAnsiTheme="minorHAnsi" w:cstheme="minorHAnsi"/>
        </w:rPr>
        <w:t xml:space="preserve">While it may be difficult under this standard to determine whether </w:t>
      </w:r>
      <w:proofErr w:type="gramStart"/>
      <w:r w:rsidRPr="00E766EC">
        <w:rPr>
          <w:rFonts w:asciiTheme="minorHAnsi" w:hAnsiTheme="minorHAnsi" w:cstheme="minorHAnsi"/>
        </w:rPr>
        <w:t>particular information</w:t>
      </w:r>
      <w:proofErr w:type="gramEnd"/>
      <w:r w:rsidRPr="00E766EC">
        <w:rPr>
          <w:rFonts w:asciiTheme="minorHAnsi" w:hAnsiTheme="minorHAnsi" w:cstheme="minorHAnsi"/>
        </w:rPr>
        <w:t xml:space="preserve"> is material, there are various categories of information that are particularly sensitive and, as a general rule, should always be considered material. Examples of such information may include:</w:t>
      </w:r>
    </w:p>
    <w:p w14:paraId="033CB3CA" w14:textId="77777777" w:rsidR="00B039DD" w:rsidRPr="00E766EC" w:rsidRDefault="00B039DD" w:rsidP="004E69C3">
      <w:pPr>
        <w:pStyle w:val="BodyText"/>
        <w:spacing w:before="2"/>
        <w:ind w:left="0"/>
        <w:jc w:val="both"/>
        <w:rPr>
          <w:rFonts w:asciiTheme="minorHAnsi" w:hAnsiTheme="minorHAnsi" w:cstheme="minorHAnsi"/>
        </w:rPr>
      </w:pPr>
    </w:p>
    <w:p w14:paraId="72705538" w14:textId="7F47EC39" w:rsidR="00BF42B2" w:rsidRDefault="00BF42B2" w:rsidP="004E69C3">
      <w:pPr>
        <w:pStyle w:val="ListParagraph"/>
        <w:numPr>
          <w:ilvl w:val="0"/>
          <w:numId w:val="1"/>
        </w:numPr>
        <w:tabs>
          <w:tab w:val="left" w:pos="1020"/>
          <w:tab w:val="left" w:pos="1021"/>
        </w:tabs>
        <w:spacing w:line="294" w:lineRule="exact"/>
        <w:jc w:val="both"/>
        <w:rPr>
          <w:rFonts w:asciiTheme="minorHAnsi" w:hAnsiTheme="minorHAnsi" w:cstheme="minorHAnsi"/>
          <w:sz w:val="24"/>
          <w:u w:val="none"/>
        </w:rPr>
      </w:pPr>
      <w:r>
        <w:rPr>
          <w:rFonts w:asciiTheme="minorHAnsi" w:hAnsiTheme="minorHAnsi" w:cstheme="minorHAnsi"/>
          <w:sz w:val="24"/>
          <w:u w:val="none"/>
        </w:rPr>
        <w:t xml:space="preserve">Mine production amounts, grades, </w:t>
      </w:r>
      <w:proofErr w:type="gramStart"/>
      <w:r>
        <w:rPr>
          <w:rFonts w:asciiTheme="minorHAnsi" w:hAnsiTheme="minorHAnsi" w:cstheme="minorHAnsi"/>
          <w:sz w:val="24"/>
          <w:u w:val="none"/>
        </w:rPr>
        <w:t>recoveries</w:t>
      </w:r>
      <w:proofErr w:type="gramEnd"/>
      <w:r>
        <w:rPr>
          <w:rFonts w:asciiTheme="minorHAnsi" w:hAnsiTheme="minorHAnsi" w:cstheme="minorHAnsi"/>
          <w:sz w:val="24"/>
          <w:u w:val="none"/>
        </w:rPr>
        <w:t xml:space="preserve"> and cash costs </w:t>
      </w:r>
    </w:p>
    <w:p w14:paraId="4ACA033B" w14:textId="3AABF8B0" w:rsidR="00B039DD" w:rsidRPr="00E766EC" w:rsidRDefault="0049289F" w:rsidP="004E69C3">
      <w:pPr>
        <w:pStyle w:val="ListParagraph"/>
        <w:numPr>
          <w:ilvl w:val="0"/>
          <w:numId w:val="1"/>
        </w:numPr>
        <w:tabs>
          <w:tab w:val="left" w:pos="1020"/>
          <w:tab w:val="left" w:pos="1021"/>
        </w:tabs>
        <w:spacing w:line="294" w:lineRule="exact"/>
        <w:jc w:val="both"/>
        <w:rPr>
          <w:rFonts w:asciiTheme="minorHAnsi" w:hAnsiTheme="minorHAnsi" w:cstheme="minorHAnsi"/>
          <w:sz w:val="24"/>
          <w:u w:val="none"/>
        </w:rPr>
      </w:pPr>
      <w:r w:rsidRPr="00E766EC">
        <w:rPr>
          <w:rFonts w:asciiTheme="minorHAnsi" w:hAnsiTheme="minorHAnsi" w:cstheme="minorHAnsi"/>
          <w:sz w:val="24"/>
          <w:u w:val="none"/>
        </w:rPr>
        <w:t>sales figures or other financial</w:t>
      </w:r>
      <w:r w:rsidRPr="00E766EC">
        <w:rPr>
          <w:rFonts w:asciiTheme="minorHAnsi" w:hAnsiTheme="minorHAnsi" w:cstheme="minorHAnsi"/>
          <w:spacing w:val="-1"/>
          <w:sz w:val="24"/>
          <w:u w:val="none"/>
        </w:rPr>
        <w:t xml:space="preserve"> </w:t>
      </w:r>
      <w:r w:rsidRPr="00E766EC">
        <w:rPr>
          <w:rFonts w:asciiTheme="minorHAnsi" w:hAnsiTheme="minorHAnsi" w:cstheme="minorHAnsi"/>
          <w:sz w:val="24"/>
          <w:u w:val="none"/>
        </w:rPr>
        <w:t>results</w:t>
      </w:r>
    </w:p>
    <w:p w14:paraId="42EAC6C7" w14:textId="77777777" w:rsidR="00B039DD" w:rsidRPr="00E766EC" w:rsidRDefault="0049289F" w:rsidP="004E69C3">
      <w:pPr>
        <w:pStyle w:val="ListParagraph"/>
        <w:numPr>
          <w:ilvl w:val="0"/>
          <w:numId w:val="1"/>
        </w:numPr>
        <w:tabs>
          <w:tab w:val="left" w:pos="1020"/>
          <w:tab w:val="left" w:pos="1021"/>
        </w:tabs>
        <w:spacing w:line="293" w:lineRule="exact"/>
        <w:jc w:val="both"/>
        <w:rPr>
          <w:rFonts w:asciiTheme="minorHAnsi" w:hAnsiTheme="minorHAnsi" w:cstheme="minorHAnsi"/>
          <w:sz w:val="24"/>
          <w:u w:val="none"/>
        </w:rPr>
      </w:pPr>
      <w:r w:rsidRPr="00E766EC">
        <w:rPr>
          <w:rFonts w:asciiTheme="minorHAnsi" w:hAnsiTheme="minorHAnsi" w:cstheme="minorHAnsi"/>
          <w:sz w:val="24"/>
          <w:u w:val="none"/>
        </w:rPr>
        <w:t>significant new purchase orders or contracts</w:t>
      </w:r>
    </w:p>
    <w:p w14:paraId="43D890B1" w14:textId="77777777" w:rsidR="00B039DD" w:rsidRPr="00E766EC" w:rsidRDefault="0049289F" w:rsidP="004E69C3">
      <w:pPr>
        <w:pStyle w:val="ListParagraph"/>
        <w:numPr>
          <w:ilvl w:val="0"/>
          <w:numId w:val="1"/>
        </w:numPr>
        <w:tabs>
          <w:tab w:val="left" w:pos="1020"/>
          <w:tab w:val="left" w:pos="1021"/>
        </w:tabs>
        <w:spacing w:line="293" w:lineRule="exact"/>
        <w:jc w:val="both"/>
        <w:rPr>
          <w:rFonts w:asciiTheme="minorHAnsi" w:hAnsiTheme="minorHAnsi" w:cstheme="minorHAnsi"/>
          <w:sz w:val="24"/>
          <w:u w:val="none"/>
        </w:rPr>
      </w:pPr>
      <w:r w:rsidRPr="00E766EC">
        <w:rPr>
          <w:rFonts w:asciiTheme="minorHAnsi" w:hAnsiTheme="minorHAnsi" w:cstheme="minorHAnsi"/>
          <w:sz w:val="24"/>
          <w:u w:val="none"/>
        </w:rPr>
        <w:t>cancellation or modification of significant purchase orders or</w:t>
      </w:r>
      <w:r w:rsidRPr="00E766EC">
        <w:rPr>
          <w:rFonts w:asciiTheme="minorHAnsi" w:hAnsiTheme="minorHAnsi" w:cstheme="minorHAnsi"/>
          <w:spacing w:val="-5"/>
          <w:sz w:val="24"/>
          <w:u w:val="none"/>
        </w:rPr>
        <w:t xml:space="preserve"> </w:t>
      </w:r>
      <w:r w:rsidRPr="00E766EC">
        <w:rPr>
          <w:rFonts w:asciiTheme="minorHAnsi" w:hAnsiTheme="minorHAnsi" w:cstheme="minorHAnsi"/>
          <w:sz w:val="24"/>
          <w:u w:val="none"/>
        </w:rPr>
        <w:t>contracts</w:t>
      </w:r>
    </w:p>
    <w:p w14:paraId="6633AC51" w14:textId="77777777" w:rsidR="00B039DD" w:rsidRPr="00E766EC" w:rsidRDefault="0049289F" w:rsidP="004E69C3">
      <w:pPr>
        <w:pStyle w:val="ListParagraph"/>
        <w:numPr>
          <w:ilvl w:val="0"/>
          <w:numId w:val="1"/>
        </w:numPr>
        <w:tabs>
          <w:tab w:val="left" w:pos="1020"/>
          <w:tab w:val="left" w:pos="1021"/>
        </w:tabs>
        <w:spacing w:line="293" w:lineRule="exact"/>
        <w:jc w:val="both"/>
        <w:rPr>
          <w:rFonts w:asciiTheme="minorHAnsi" w:hAnsiTheme="minorHAnsi" w:cstheme="minorHAnsi"/>
          <w:sz w:val="24"/>
          <w:u w:val="none"/>
        </w:rPr>
      </w:pPr>
      <w:r w:rsidRPr="00E766EC">
        <w:rPr>
          <w:rFonts w:asciiTheme="minorHAnsi" w:hAnsiTheme="minorHAnsi" w:cstheme="minorHAnsi"/>
          <w:sz w:val="24"/>
          <w:u w:val="none"/>
        </w:rPr>
        <w:t>mergers and acquisitions</w:t>
      </w:r>
    </w:p>
    <w:p w14:paraId="67668D58" w14:textId="77777777" w:rsidR="00B039DD" w:rsidRPr="00E766EC" w:rsidRDefault="0049289F" w:rsidP="004E69C3">
      <w:pPr>
        <w:pStyle w:val="ListParagraph"/>
        <w:numPr>
          <w:ilvl w:val="0"/>
          <w:numId w:val="1"/>
        </w:numPr>
        <w:tabs>
          <w:tab w:val="left" w:pos="1020"/>
          <w:tab w:val="left" w:pos="1021"/>
        </w:tabs>
        <w:spacing w:line="293" w:lineRule="exact"/>
        <w:jc w:val="both"/>
        <w:rPr>
          <w:rFonts w:asciiTheme="minorHAnsi" w:hAnsiTheme="minorHAnsi" w:cstheme="minorHAnsi"/>
          <w:sz w:val="24"/>
          <w:u w:val="none"/>
        </w:rPr>
      </w:pPr>
      <w:r w:rsidRPr="00E766EC">
        <w:rPr>
          <w:rFonts w:asciiTheme="minorHAnsi" w:hAnsiTheme="minorHAnsi" w:cstheme="minorHAnsi"/>
          <w:sz w:val="24"/>
          <w:u w:val="none"/>
        </w:rPr>
        <w:t>public offerings and other</w:t>
      </w:r>
      <w:r w:rsidRPr="00E766EC">
        <w:rPr>
          <w:rFonts w:asciiTheme="minorHAnsi" w:hAnsiTheme="minorHAnsi" w:cstheme="minorHAnsi"/>
          <w:spacing w:val="-3"/>
          <w:sz w:val="24"/>
          <w:u w:val="none"/>
        </w:rPr>
        <w:t xml:space="preserve"> </w:t>
      </w:r>
      <w:r w:rsidRPr="00E766EC">
        <w:rPr>
          <w:rFonts w:asciiTheme="minorHAnsi" w:hAnsiTheme="minorHAnsi" w:cstheme="minorHAnsi"/>
          <w:sz w:val="24"/>
          <w:u w:val="none"/>
        </w:rPr>
        <w:t>financings</w:t>
      </w:r>
    </w:p>
    <w:p w14:paraId="644954B7" w14:textId="773AC206" w:rsidR="00B039DD" w:rsidRPr="00E766EC" w:rsidRDefault="0049289F" w:rsidP="004E69C3">
      <w:pPr>
        <w:pStyle w:val="ListParagraph"/>
        <w:numPr>
          <w:ilvl w:val="0"/>
          <w:numId w:val="1"/>
        </w:numPr>
        <w:tabs>
          <w:tab w:val="left" w:pos="1020"/>
          <w:tab w:val="left" w:pos="1021"/>
        </w:tabs>
        <w:spacing w:before="1" w:line="293" w:lineRule="exact"/>
        <w:jc w:val="both"/>
        <w:rPr>
          <w:rFonts w:asciiTheme="minorHAnsi" w:hAnsiTheme="minorHAnsi" w:cstheme="minorHAnsi"/>
          <w:sz w:val="24"/>
          <w:u w:val="none"/>
        </w:rPr>
      </w:pPr>
      <w:r w:rsidRPr="00E766EC">
        <w:rPr>
          <w:rFonts w:asciiTheme="minorHAnsi" w:hAnsiTheme="minorHAnsi" w:cstheme="minorHAnsi"/>
          <w:sz w:val="24"/>
          <w:u w:val="none"/>
        </w:rPr>
        <w:t xml:space="preserve">advances in </w:t>
      </w:r>
      <w:r w:rsidR="00BF42B2">
        <w:rPr>
          <w:rFonts w:asciiTheme="minorHAnsi" w:hAnsiTheme="minorHAnsi" w:cstheme="minorHAnsi"/>
          <w:sz w:val="24"/>
          <w:u w:val="none"/>
        </w:rPr>
        <w:t>mine development or exploration</w:t>
      </w:r>
    </w:p>
    <w:p w14:paraId="6C43D1F6" w14:textId="77777777" w:rsidR="00B039DD" w:rsidRPr="00E766EC" w:rsidRDefault="0049289F" w:rsidP="004E69C3">
      <w:pPr>
        <w:pStyle w:val="ListParagraph"/>
        <w:numPr>
          <w:ilvl w:val="0"/>
          <w:numId w:val="1"/>
        </w:numPr>
        <w:tabs>
          <w:tab w:val="left" w:pos="1020"/>
          <w:tab w:val="left" w:pos="1021"/>
        </w:tabs>
        <w:spacing w:line="293" w:lineRule="exact"/>
        <w:jc w:val="both"/>
        <w:rPr>
          <w:rFonts w:asciiTheme="minorHAnsi" w:hAnsiTheme="minorHAnsi" w:cstheme="minorHAnsi"/>
          <w:sz w:val="24"/>
          <w:u w:val="none"/>
        </w:rPr>
      </w:pPr>
      <w:r w:rsidRPr="00E766EC">
        <w:rPr>
          <w:rFonts w:asciiTheme="minorHAnsi" w:hAnsiTheme="minorHAnsi" w:cstheme="minorHAnsi"/>
          <w:sz w:val="24"/>
          <w:u w:val="none"/>
        </w:rPr>
        <w:t>pending or threatened</w:t>
      </w:r>
      <w:r w:rsidRPr="00E766EC">
        <w:rPr>
          <w:rFonts w:asciiTheme="minorHAnsi" w:hAnsiTheme="minorHAnsi" w:cstheme="minorHAnsi"/>
          <w:spacing w:val="-3"/>
          <w:sz w:val="24"/>
          <w:u w:val="none"/>
        </w:rPr>
        <w:t xml:space="preserve"> </w:t>
      </w:r>
      <w:r w:rsidRPr="00E766EC">
        <w:rPr>
          <w:rFonts w:asciiTheme="minorHAnsi" w:hAnsiTheme="minorHAnsi" w:cstheme="minorHAnsi"/>
          <w:sz w:val="24"/>
          <w:u w:val="none"/>
        </w:rPr>
        <w:t>litigation</w:t>
      </w:r>
    </w:p>
    <w:p w14:paraId="00DAB046" w14:textId="77777777" w:rsidR="00B039DD" w:rsidRPr="00E766EC" w:rsidRDefault="0049289F" w:rsidP="004E69C3">
      <w:pPr>
        <w:pStyle w:val="ListParagraph"/>
        <w:numPr>
          <w:ilvl w:val="0"/>
          <w:numId w:val="1"/>
        </w:numPr>
        <w:tabs>
          <w:tab w:val="left" w:pos="1020"/>
          <w:tab w:val="left" w:pos="1021"/>
        </w:tabs>
        <w:spacing w:line="293" w:lineRule="exact"/>
        <w:jc w:val="both"/>
        <w:rPr>
          <w:rFonts w:asciiTheme="minorHAnsi" w:hAnsiTheme="minorHAnsi" w:cstheme="minorHAnsi"/>
          <w:sz w:val="24"/>
          <w:u w:val="none"/>
        </w:rPr>
      </w:pPr>
      <w:r w:rsidRPr="00E766EC">
        <w:rPr>
          <w:rFonts w:asciiTheme="minorHAnsi" w:hAnsiTheme="minorHAnsi" w:cstheme="minorHAnsi"/>
          <w:sz w:val="24"/>
          <w:u w:val="none"/>
        </w:rPr>
        <w:t>major personnel</w:t>
      </w:r>
      <w:r w:rsidRPr="00E766EC">
        <w:rPr>
          <w:rFonts w:asciiTheme="minorHAnsi" w:hAnsiTheme="minorHAnsi" w:cstheme="minorHAnsi"/>
          <w:spacing w:val="-2"/>
          <w:sz w:val="24"/>
          <w:u w:val="none"/>
        </w:rPr>
        <w:t xml:space="preserve"> </w:t>
      </w:r>
      <w:r w:rsidRPr="00E766EC">
        <w:rPr>
          <w:rFonts w:asciiTheme="minorHAnsi" w:hAnsiTheme="minorHAnsi" w:cstheme="minorHAnsi"/>
          <w:sz w:val="24"/>
          <w:u w:val="none"/>
        </w:rPr>
        <w:t>changes</w:t>
      </w:r>
    </w:p>
    <w:p w14:paraId="60A9221A" w14:textId="77777777" w:rsidR="00B039DD" w:rsidRPr="00E766EC" w:rsidRDefault="00B039DD" w:rsidP="004E69C3">
      <w:pPr>
        <w:pStyle w:val="BodyText"/>
        <w:ind w:left="0"/>
        <w:jc w:val="both"/>
        <w:rPr>
          <w:rFonts w:asciiTheme="minorHAnsi" w:hAnsiTheme="minorHAnsi" w:cstheme="minorHAnsi"/>
        </w:rPr>
      </w:pPr>
    </w:p>
    <w:p w14:paraId="538E33E2" w14:textId="77777777" w:rsidR="00B039DD" w:rsidRPr="00856624" w:rsidRDefault="0049289F" w:rsidP="004E69C3">
      <w:pPr>
        <w:pStyle w:val="ListParagraph"/>
        <w:numPr>
          <w:ilvl w:val="0"/>
          <w:numId w:val="2"/>
        </w:numPr>
        <w:tabs>
          <w:tab w:val="left" w:pos="1020"/>
          <w:tab w:val="left" w:pos="1021"/>
        </w:tabs>
        <w:jc w:val="both"/>
        <w:rPr>
          <w:rFonts w:asciiTheme="minorHAnsi" w:hAnsiTheme="minorHAnsi" w:cstheme="minorHAnsi"/>
          <w:b/>
          <w:bCs/>
          <w:sz w:val="24"/>
          <w:u w:val="none"/>
        </w:rPr>
      </w:pPr>
      <w:r w:rsidRPr="00856624">
        <w:rPr>
          <w:rFonts w:asciiTheme="minorHAnsi" w:hAnsiTheme="minorHAnsi" w:cstheme="minorHAnsi"/>
          <w:b/>
          <w:bCs/>
          <w:sz w:val="24"/>
          <w:u w:val="none"/>
        </w:rPr>
        <w:t>Potential Criminal and Civil Liability and/or Disciplinary</w:t>
      </w:r>
      <w:r w:rsidRPr="00856624">
        <w:rPr>
          <w:rFonts w:asciiTheme="minorHAnsi" w:hAnsiTheme="minorHAnsi" w:cstheme="minorHAnsi"/>
          <w:b/>
          <w:bCs/>
          <w:spacing w:val="-11"/>
          <w:sz w:val="24"/>
          <w:u w:val="none"/>
        </w:rPr>
        <w:t xml:space="preserve"> </w:t>
      </w:r>
      <w:r w:rsidRPr="00856624">
        <w:rPr>
          <w:rFonts w:asciiTheme="minorHAnsi" w:hAnsiTheme="minorHAnsi" w:cstheme="minorHAnsi"/>
          <w:b/>
          <w:bCs/>
          <w:sz w:val="24"/>
          <w:u w:val="none"/>
        </w:rPr>
        <w:t>Action</w:t>
      </w:r>
    </w:p>
    <w:p w14:paraId="116954BF" w14:textId="77777777" w:rsidR="00B039DD" w:rsidRPr="00E766EC" w:rsidRDefault="00B039DD" w:rsidP="004E69C3">
      <w:pPr>
        <w:pStyle w:val="BodyText"/>
        <w:ind w:left="0"/>
        <w:jc w:val="both"/>
        <w:rPr>
          <w:rFonts w:asciiTheme="minorHAnsi" w:hAnsiTheme="minorHAnsi" w:cstheme="minorHAnsi"/>
        </w:rPr>
      </w:pPr>
    </w:p>
    <w:p w14:paraId="39C84348" w14:textId="1DF1A4CD" w:rsidR="00B039DD" w:rsidRPr="00BF42B2" w:rsidRDefault="0049289F" w:rsidP="004E69C3">
      <w:pPr>
        <w:pStyle w:val="ListParagraph"/>
        <w:numPr>
          <w:ilvl w:val="0"/>
          <w:numId w:val="3"/>
        </w:numPr>
        <w:tabs>
          <w:tab w:val="left" w:pos="1021"/>
        </w:tabs>
        <w:jc w:val="both"/>
        <w:rPr>
          <w:rFonts w:asciiTheme="minorHAnsi" w:hAnsiTheme="minorHAnsi" w:cstheme="minorHAnsi"/>
        </w:rPr>
      </w:pPr>
      <w:r w:rsidRPr="00BF42B2">
        <w:rPr>
          <w:rFonts w:asciiTheme="minorHAnsi" w:hAnsiTheme="minorHAnsi" w:cstheme="minorHAnsi"/>
          <w:sz w:val="24"/>
        </w:rPr>
        <w:t>Liability for Insider Trading</w:t>
      </w:r>
      <w:r w:rsidRPr="00BF42B2">
        <w:rPr>
          <w:rFonts w:asciiTheme="minorHAnsi" w:hAnsiTheme="minorHAnsi" w:cstheme="minorHAnsi"/>
          <w:sz w:val="24"/>
          <w:u w:val="none"/>
        </w:rPr>
        <w:t xml:space="preserve">. Insiders may be subject to </w:t>
      </w:r>
      <w:r w:rsidR="00BF42B2" w:rsidRPr="00BF42B2">
        <w:rPr>
          <w:rFonts w:asciiTheme="minorHAnsi" w:hAnsiTheme="minorHAnsi" w:cstheme="minorHAnsi"/>
          <w:sz w:val="24"/>
          <w:u w:val="none"/>
        </w:rPr>
        <w:t xml:space="preserve">significant </w:t>
      </w:r>
      <w:r w:rsidRPr="00BF42B2">
        <w:rPr>
          <w:rFonts w:asciiTheme="minorHAnsi" w:hAnsiTheme="minorHAnsi" w:cstheme="minorHAnsi"/>
          <w:sz w:val="24"/>
          <w:u w:val="none"/>
        </w:rPr>
        <w:t xml:space="preserve">monetary penalties </w:t>
      </w:r>
      <w:r w:rsidR="00BF42B2">
        <w:rPr>
          <w:rFonts w:asciiTheme="minorHAnsi" w:hAnsiTheme="minorHAnsi" w:cstheme="minorHAnsi"/>
          <w:sz w:val="24"/>
          <w:u w:val="none"/>
        </w:rPr>
        <w:t xml:space="preserve">and/or </w:t>
      </w:r>
      <w:r w:rsidRPr="00BF42B2">
        <w:rPr>
          <w:rFonts w:asciiTheme="minorHAnsi" w:hAnsiTheme="minorHAnsi" w:cstheme="minorHAnsi"/>
          <w:sz w:val="24"/>
          <w:szCs w:val="24"/>
          <w:u w:val="none"/>
        </w:rPr>
        <w:t>jail</w:t>
      </w:r>
      <w:r w:rsidR="00BF42B2">
        <w:rPr>
          <w:rFonts w:asciiTheme="minorHAnsi" w:hAnsiTheme="minorHAnsi" w:cstheme="minorHAnsi"/>
          <w:sz w:val="24"/>
          <w:szCs w:val="24"/>
          <w:u w:val="none"/>
        </w:rPr>
        <w:t xml:space="preserve"> terms</w:t>
      </w:r>
      <w:r w:rsidRPr="00BF42B2">
        <w:rPr>
          <w:rFonts w:asciiTheme="minorHAnsi" w:hAnsiTheme="minorHAnsi" w:cstheme="minorHAnsi"/>
          <w:sz w:val="24"/>
          <w:szCs w:val="24"/>
          <w:u w:val="none"/>
        </w:rPr>
        <w:t xml:space="preserve"> for engaging in transactions in the Company’s securities at a time when they have knowledge of </w:t>
      </w:r>
      <w:r w:rsidR="00872EA4">
        <w:rPr>
          <w:rFonts w:asciiTheme="minorHAnsi" w:hAnsiTheme="minorHAnsi" w:cstheme="minorHAnsi"/>
          <w:sz w:val="24"/>
          <w:szCs w:val="24"/>
          <w:u w:val="none"/>
        </w:rPr>
        <w:t>Material N</w:t>
      </w:r>
      <w:r w:rsidRPr="00BF42B2">
        <w:rPr>
          <w:rFonts w:asciiTheme="minorHAnsi" w:hAnsiTheme="minorHAnsi" w:cstheme="minorHAnsi"/>
          <w:sz w:val="24"/>
          <w:szCs w:val="24"/>
          <w:u w:val="none"/>
        </w:rPr>
        <w:t xml:space="preserve">onpublic </w:t>
      </w:r>
      <w:r w:rsidR="00872EA4">
        <w:rPr>
          <w:rFonts w:asciiTheme="minorHAnsi" w:hAnsiTheme="minorHAnsi" w:cstheme="minorHAnsi"/>
          <w:sz w:val="24"/>
          <w:szCs w:val="24"/>
          <w:u w:val="none"/>
        </w:rPr>
        <w:t>I</w:t>
      </w:r>
      <w:r w:rsidRPr="00BF42B2">
        <w:rPr>
          <w:rFonts w:asciiTheme="minorHAnsi" w:hAnsiTheme="minorHAnsi" w:cstheme="minorHAnsi"/>
          <w:sz w:val="24"/>
          <w:szCs w:val="24"/>
          <w:u w:val="none"/>
        </w:rPr>
        <w:t>nformation regarding the Company.</w:t>
      </w:r>
    </w:p>
    <w:p w14:paraId="52C9E950" w14:textId="77777777" w:rsidR="00B039DD" w:rsidRPr="00E766EC" w:rsidRDefault="00B039DD" w:rsidP="004E69C3">
      <w:pPr>
        <w:pStyle w:val="BodyText"/>
        <w:ind w:left="0"/>
        <w:jc w:val="both"/>
        <w:rPr>
          <w:rFonts w:asciiTheme="minorHAnsi" w:hAnsiTheme="minorHAnsi" w:cstheme="minorHAnsi"/>
        </w:rPr>
      </w:pPr>
    </w:p>
    <w:p w14:paraId="0A096ABB" w14:textId="3483B276" w:rsidR="00B039DD" w:rsidRPr="0082679B" w:rsidRDefault="0049289F" w:rsidP="004E69C3">
      <w:pPr>
        <w:pStyle w:val="ListParagraph"/>
        <w:numPr>
          <w:ilvl w:val="0"/>
          <w:numId w:val="3"/>
        </w:numPr>
        <w:tabs>
          <w:tab w:val="left" w:pos="1021"/>
        </w:tabs>
        <w:spacing w:before="72"/>
        <w:jc w:val="both"/>
        <w:rPr>
          <w:rFonts w:asciiTheme="minorHAnsi" w:hAnsiTheme="minorHAnsi" w:cstheme="minorHAnsi"/>
        </w:rPr>
      </w:pPr>
      <w:r w:rsidRPr="0082679B">
        <w:rPr>
          <w:rFonts w:asciiTheme="minorHAnsi" w:hAnsiTheme="minorHAnsi" w:cstheme="minorHAnsi"/>
          <w:sz w:val="24"/>
        </w:rPr>
        <w:t>Liability for Tipping</w:t>
      </w:r>
      <w:r w:rsidRPr="0082679B">
        <w:rPr>
          <w:rFonts w:asciiTheme="minorHAnsi" w:hAnsiTheme="minorHAnsi" w:cstheme="minorHAnsi"/>
          <w:sz w:val="24"/>
          <w:u w:val="none"/>
        </w:rPr>
        <w:t>. Insiders may also be liable for improper transactions by any person (commonly referred to as a “</w:t>
      </w:r>
      <w:proofErr w:type="spellStart"/>
      <w:r w:rsidRPr="0082679B">
        <w:rPr>
          <w:rFonts w:asciiTheme="minorHAnsi" w:hAnsiTheme="minorHAnsi" w:cstheme="minorHAnsi"/>
          <w:b/>
          <w:sz w:val="24"/>
          <w:u w:val="none"/>
        </w:rPr>
        <w:t>tippee</w:t>
      </w:r>
      <w:proofErr w:type="spellEnd"/>
      <w:r w:rsidRPr="0082679B">
        <w:rPr>
          <w:rFonts w:asciiTheme="minorHAnsi" w:hAnsiTheme="minorHAnsi" w:cstheme="minorHAnsi"/>
          <w:sz w:val="24"/>
          <w:u w:val="none"/>
        </w:rPr>
        <w:t xml:space="preserve">”) to whom they have disclosed </w:t>
      </w:r>
      <w:r w:rsidR="002D00E6">
        <w:rPr>
          <w:rFonts w:asciiTheme="minorHAnsi" w:hAnsiTheme="minorHAnsi" w:cstheme="minorHAnsi"/>
          <w:sz w:val="24"/>
          <w:u w:val="none"/>
        </w:rPr>
        <w:t>M</w:t>
      </w:r>
      <w:r w:rsidR="00872EA4">
        <w:rPr>
          <w:rFonts w:asciiTheme="minorHAnsi" w:hAnsiTheme="minorHAnsi" w:cstheme="minorHAnsi"/>
          <w:sz w:val="24"/>
          <w:u w:val="none"/>
        </w:rPr>
        <w:t xml:space="preserve">aterial </w:t>
      </w:r>
      <w:r w:rsidR="002D00E6">
        <w:rPr>
          <w:rFonts w:asciiTheme="minorHAnsi" w:hAnsiTheme="minorHAnsi" w:cstheme="minorHAnsi"/>
          <w:sz w:val="24"/>
          <w:u w:val="none"/>
        </w:rPr>
        <w:t>N</w:t>
      </w:r>
      <w:r w:rsidRPr="0082679B">
        <w:rPr>
          <w:rFonts w:asciiTheme="minorHAnsi" w:hAnsiTheme="minorHAnsi" w:cstheme="minorHAnsi"/>
          <w:sz w:val="24"/>
          <w:u w:val="none"/>
        </w:rPr>
        <w:t xml:space="preserve">onpublic information regarding the Company or to whom they have made recommendations or expressed opinions </w:t>
      </w:r>
      <w:proofErr w:type="gramStart"/>
      <w:r w:rsidRPr="0082679B">
        <w:rPr>
          <w:rFonts w:asciiTheme="minorHAnsi" w:hAnsiTheme="minorHAnsi" w:cstheme="minorHAnsi"/>
          <w:sz w:val="24"/>
          <w:u w:val="none"/>
        </w:rPr>
        <w:t>on the basis of</w:t>
      </w:r>
      <w:proofErr w:type="gramEnd"/>
      <w:r w:rsidRPr="0082679B">
        <w:rPr>
          <w:rFonts w:asciiTheme="minorHAnsi" w:hAnsiTheme="minorHAnsi" w:cstheme="minorHAnsi"/>
          <w:sz w:val="24"/>
          <w:u w:val="none"/>
        </w:rPr>
        <w:t xml:space="preserve"> such information as to trading in the Company’s securities. The Securities and Exchange Commission (the “</w:t>
      </w:r>
      <w:r w:rsidRPr="0082679B">
        <w:rPr>
          <w:rFonts w:asciiTheme="minorHAnsi" w:hAnsiTheme="minorHAnsi" w:cstheme="minorHAnsi"/>
          <w:b/>
          <w:sz w:val="24"/>
          <w:u w:val="none"/>
        </w:rPr>
        <w:t>SEC</w:t>
      </w:r>
      <w:r w:rsidRPr="0082679B">
        <w:rPr>
          <w:rFonts w:asciiTheme="minorHAnsi" w:hAnsiTheme="minorHAnsi" w:cstheme="minorHAnsi"/>
          <w:sz w:val="24"/>
          <w:u w:val="none"/>
        </w:rPr>
        <w:t>”) has imposed large penalties even when the disclosing person did not profit from the trading. The SEC, the stock</w:t>
      </w:r>
      <w:r w:rsidRPr="0082679B">
        <w:rPr>
          <w:rFonts w:asciiTheme="minorHAnsi" w:hAnsiTheme="minorHAnsi" w:cstheme="minorHAnsi"/>
          <w:spacing w:val="-15"/>
          <w:sz w:val="24"/>
          <w:u w:val="none"/>
        </w:rPr>
        <w:t xml:space="preserve"> </w:t>
      </w:r>
      <w:r w:rsidRPr="0082679B">
        <w:rPr>
          <w:rFonts w:asciiTheme="minorHAnsi" w:hAnsiTheme="minorHAnsi" w:cstheme="minorHAnsi"/>
          <w:sz w:val="24"/>
          <w:u w:val="none"/>
        </w:rPr>
        <w:t>exchanges</w:t>
      </w:r>
      <w:r w:rsidR="0082679B">
        <w:rPr>
          <w:rFonts w:asciiTheme="minorHAnsi" w:hAnsiTheme="minorHAnsi" w:cstheme="minorHAnsi"/>
          <w:sz w:val="24"/>
          <w:u w:val="none"/>
        </w:rPr>
        <w:t xml:space="preserve"> </w:t>
      </w:r>
      <w:r w:rsidRPr="002E4FF3">
        <w:rPr>
          <w:rFonts w:asciiTheme="minorHAnsi" w:hAnsiTheme="minorHAnsi" w:cstheme="minorHAnsi"/>
          <w:sz w:val="24"/>
          <w:szCs w:val="24"/>
          <w:u w:val="none"/>
        </w:rPr>
        <w:t>and the National Association of Securities Dealers, Inc. use sophisticated electronic surveillance techniques to uncover insider trading.</w:t>
      </w:r>
    </w:p>
    <w:p w14:paraId="265046CD" w14:textId="77777777" w:rsidR="00B039DD" w:rsidRPr="00E766EC" w:rsidRDefault="00B039DD" w:rsidP="004E69C3">
      <w:pPr>
        <w:pStyle w:val="BodyText"/>
        <w:ind w:left="0"/>
        <w:jc w:val="both"/>
        <w:rPr>
          <w:rFonts w:asciiTheme="minorHAnsi" w:hAnsiTheme="minorHAnsi" w:cstheme="minorHAnsi"/>
        </w:rPr>
      </w:pPr>
    </w:p>
    <w:p w14:paraId="70B8E928" w14:textId="77777777" w:rsidR="00B039DD" w:rsidRPr="00E766EC" w:rsidRDefault="0049289F" w:rsidP="004E69C3">
      <w:pPr>
        <w:pStyle w:val="ListParagraph"/>
        <w:numPr>
          <w:ilvl w:val="0"/>
          <w:numId w:val="3"/>
        </w:numPr>
        <w:tabs>
          <w:tab w:val="left" w:pos="1021"/>
        </w:tabs>
        <w:jc w:val="both"/>
        <w:rPr>
          <w:rFonts w:asciiTheme="minorHAnsi" w:hAnsiTheme="minorHAnsi" w:cstheme="minorHAnsi"/>
          <w:sz w:val="24"/>
          <w:u w:val="none"/>
        </w:rPr>
      </w:pPr>
      <w:r w:rsidRPr="00E766EC">
        <w:rPr>
          <w:rFonts w:asciiTheme="minorHAnsi" w:hAnsiTheme="minorHAnsi" w:cstheme="minorHAnsi"/>
          <w:sz w:val="24"/>
        </w:rPr>
        <w:t>Possible Disciplinary Actions</w:t>
      </w:r>
      <w:r w:rsidRPr="00E766EC">
        <w:rPr>
          <w:rFonts w:asciiTheme="minorHAnsi" w:hAnsiTheme="minorHAnsi" w:cstheme="minorHAnsi"/>
          <w:sz w:val="24"/>
          <w:u w:val="none"/>
        </w:rPr>
        <w:t>. Employees of the Company who violate this Policy shall also be subject to disciplinary action by the Company, which may include immediate termination of</w:t>
      </w:r>
      <w:r w:rsidRPr="00E766EC">
        <w:rPr>
          <w:rFonts w:asciiTheme="minorHAnsi" w:hAnsiTheme="minorHAnsi" w:cstheme="minorHAnsi"/>
          <w:spacing w:val="-2"/>
          <w:sz w:val="24"/>
          <w:u w:val="none"/>
        </w:rPr>
        <w:t xml:space="preserve"> </w:t>
      </w:r>
      <w:r w:rsidRPr="00E766EC">
        <w:rPr>
          <w:rFonts w:asciiTheme="minorHAnsi" w:hAnsiTheme="minorHAnsi" w:cstheme="minorHAnsi"/>
          <w:sz w:val="24"/>
          <w:u w:val="none"/>
        </w:rPr>
        <w:t>employment.</w:t>
      </w:r>
    </w:p>
    <w:p w14:paraId="00D596B3" w14:textId="77777777" w:rsidR="00B039DD" w:rsidRPr="00E766EC" w:rsidRDefault="00B039DD" w:rsidP="004E69C3">
      <w:pPr>
        <w:pStyle w:val="BodyText"/>
        <w:ind w:left="0"/>
        <w:jc w:val="both"/>
        <w:rPr>
          <w:rFonts w:asciiTheme="minorHAnsi" w:hAnsiTheme="minorHAnsi" w:cstheme="minorHAnsi"/>
        </w:rPr>
      </w:pPr>
    </w:p>
    <w:p w14:paraId="1D030B8C" w14:textId="77777777" w:rsidR="00B039DD" w:rsidRPr="0082679B" w:rsidRDefault="0049289F" w:rsidP="004E69C3">
      <w:pPr>
        <w:pStyle w:val="ListParagraph"/>
        <w:numPr>
          <w:ilvl w:val="0"/>
          <w:numId w:val="2"/>
        </w:numPr>
        <w:tabs>
          <w:tab w:val="left" w:pos="1020"/>
          <w:tab w:val="left" w:pos="1021"/>
        </w:tabs>
        <w:jc w:val="both"/>
        <w:rPr>
          <w:rFonts w:asciiTheme="minorHAnsi" w:hAnsiTheme="minorHAnsi" w:cstheme="minorHAnsi"/>
          <w:b/>
          <w:bCs/>
          <w:sz w:val="24"/>
          <w:u w:val="none"/>
        </w:rPr>
      </w:pPr>
      <w:r w:rsidRPr="0082679B">
        <w:rPr>
          <w:rFonts w:asciiTheme="minorHAnsi" w:hAnsiTheme="minorHAnsi" w:cstheme="minorHAnsi"/>
          <w:b/>
          <w:bCs/>
          <w:sz w:val="24"/>
          <w:u w:val="none"/>
        </w:rPr>
        <w:t>Additional Information</w:t>
      </w:r>
    </w:p>
    <w:p w14:paraId="18DECE62" w14:textId="77777777" w:rsidR="00B039DD" w:rsidRPr="00E766EC" w:rsidRDefault="00B039DD" w:rsidP="004E69C3">
      <w:pPr>
        <w:pStyle w:val="BodyText"/>
        <w:ind w:left="0"/>
        <w:jc w:val="both"/>
        <w:rPr>
          <w:rFonts w:asciiTheme="minorHAnsi" w:hAnsiTheme="minorHAnsi" w:cstheme="minorHAnsi"/>
        </w:rPr>
      </w:pPr>
    </w:p>
    <w:p w14:paraId="36A04062" w14:textId="145C7006" w:rsidR="00B039DD" w:rsidRPr="00E766EC" w:rsidRDefault="0049289F" w:rsidP="004E69C3">
      <w:pPr>
        <w:pStyle w:val="ListParagraph"/>
        <w:numPr>
          <w:ilvl w:val="0"/>
          <w:numId w:val="4"/>
        </w:numPr>
        <w:tabs>
          <w:tab w:val="left" w:pos="1021"/>
        </w:tabs>
        <w:jc w:val="both"/>
        <w:rPr>
          <w:rFonts w:asciiTheme="minorHAnsi" w:hAnsiTheme="minorHAnsi" w:cstheme="minorHAnsi"/>
          <w:sz w:val="24"/>
          <w:u w:val="none"/>
        </w:rPr>
      </w:pPr>
      <w:r w:rsidRPr="00E766EC">
        <w:rPr>
          <w:rFonts w:asciiTheme="minorHAnsi" w:hAnsiTheme="minorHAnsi" w:cstheme="minorHAnsi"/>
          <w:sz w:val="24"/>
        </w:rPr>
        <w:t>Exceptions</w:t>
      </w:r>
      <w:r w:rsidRPr="00E766EC">
        <w:rPr>
          <w:rFonts w:asciiTheme="minorHAnsi" w:hAnsiTheme="minorHAnsi" w:cstheme="minorHAnsi"/>
          <w:sz w:val="24"/>
          <w:u w:val="none"/>
        </w:rPr>
        <w:t>.  For purposes of this Policy, the Company considers that the exercise of stock options for cash under the Company’s stock option plans (</w:t>
      </w:r>
      <w:r w:rsidRPr="00E766EC">
        <w:rPr>
          <w:rFonts w:asciiTheme="minorHAnsi" w:hAnsiTheme="minorHAnsi" w:cstheme="minorHAnsi"/>
          <w:b/>
          <w:sz w:val="24"/>
          <w:u w:val="thick"/>
        </w:rPr>
        <w:t>but not the sale of any such shares</w:t>
      </w:r>
      <w:r w:rsidRPr="00E766EC">
        <w:rPr>
          <w:rFonts w:asciiTheme="minorHAnsi" w:hAnsiTheme="minorHAnsi" w:cstheme="minorHAnsi"/>
          <w:sz w:val="24"/>
          <w:u w:val="none"/>
        </w:rPr>
        <w:t xml:space="preserve">) </w:t>
      </w:r>
      <w:r w:rsidR="004F3B1A" w:rsidRPr="00E766EC">
        <w:rPr>
          <w:rFonts w:asciiTheme="minorHAnsi" w:hAnsiTheme="minorHAnsi" w:cstheme="minorHAnsi"/>
          <w:sz w:val="24"/>
          <w:u w:val="none"/>
        </w:rPr>
        <w:t>is</w:t>
      </w:r>
      <w:r w:rsidRPr="00E766EC">
        <w:rPr>
          <w:rFonts w:asciiTheme="minorHAnsi" w:hAnsiTheme="minorHAnsi" w:cstheme="minorHAnsi"/>
          <w:sz w:val="24"/>
          <w:u w:val="none"/>
        </w:rPr>
        <w:t xml:space="preserve"> exempt from this </w:t>
      </w:r>
      <w:proofErr w:type="gramStart"/>
      <w:r w:rsidRPr="00E766EC">
        <w:rPr>
          <w:rFonts w:asciiTheme="minorHAnsi" w:hAnsiTheme="minorHAnsi" w:cstheme="minorHAnsi"/>
          <w:sz w:val="24"/>
          <w:u w:val="none"/>
        </w:rPr>
        <w:t>Policy, since</w:t>
      </w:r>
      <w:proofErr w:type="gramEnd"/>
      <w:r w:rsidRPr="00E766EC">
        <w:rPr>
          <w:rFonts w:asciiTheme="minorHAnsi" w:hAnsiTheme="minorHAnsi" w:cstheme="minorHAnsi"/>
          <w:sz w:val="24"/>
          <w:u w:val="none"/>
        </w:rPr>
        <w:t xml:space="preserve"> the other party to the transaction is the Company and the price does not vary with the market but is fixed by the terms of the option agreement or the</w:t>
      </w:r>
      <w:r w:rsidRPr="00E766EC">
        <w:rPr>
          <w:rFonts w:asciiTheme="minorHAnsi" w:hAnsiTheme="minorHAnsi" w:cstheme="minorHAnsi"/>
          <w:spacing w:val="-1"/>
          <w:sz w:val="24"/>
          <w:u w:val="none"/>
        </w:rPr>
        <w:t xml:space="preserve"> </w:t>
      </w:r>
      <w:r w:rsidRPr="00E766EC">
        <w:rPr>
          <w:rFonts w:asciiTheme="minorHAnsi" w:hAnsiTheme="minorHAnsi" w:cstheme="minorHAnsi"/>
          <w:sz w:val="24"/>
          <w:u w:val="none"/>
        </w:rPr>
        <w:t>plan.</w:t>
      </w:r>
      <w:r w:rsidR="00947C2B" w:rsidRPr="00E766EC">
        <w:rPr>
          <w:rFonts w:asciiTheme="minorHAnsi" w:hAnsiTheme="minorHAnsi" w:cstheme="minorHAnsi"/>
          <w:sz w:val="24"/>
          <w:u w:val="none"/>
        </w:rPr>
        <w:t xml:space="preserve"> The purchase of any shares pursuant to an automatic reinvestment feature of an Insider’s brokerage account</w:t>
      </w:r>
      <w:r w:rsidR="00872EA4">
        <w:rPr>
          <w:rFonts w:asciiTheme="minorHAnsi" w:hAnsiTheme="minorHAnsi" w:cstheme="minorHAnsi"/>
          <w:sz w:val="24"/>
          <w:u w:val="none"/>
        </w:rPr>
        <w:t xml:space="preserve"> </w:t>
      </w:r>
      <w:r w:rsidR="00872EA4" w:rsidRPr="00E766EC">
        <w:rPr>
          <w:rFonts w:asciiTheme="minorHAnsi" w:hAnsiTheme="minorHAnsi" w:cstheme="minorHAnsi"/>
          <w:sz w:val="24"/>
          <w:u w:val="none"/>
        </w:rPr>
        <w:t>(</w:t>
      </w:r>
      <w:r w:rsidR="00872EA4" w:rsidRPr="00E766EC">
        <w:rPr>
          <w:rFonts w:asciiTheme="minorHAnsi" w:hAnsiTheme="minorHAnsi" w:cstheme="minorHAnsi"/>
          <w:b/>
          <w:sz w:val="24"/>
          <w:u w:val="thick"/>
        </w:rPr>
        <w:t>but not the subsequent sale of any such shares</w:t>
      </w:r>
      <w:r w:rsidR="00872EA4" w:rsidRPr="00E766EC">
        <w:rPr>
          <w:rFonts w:asciiTheme="minorHAnsi" w:hAnsiTheme="minorHAnsi" w:cstheme="minorHAnsi"/>
          <w:sz w:val="24"/>
          <w:u w:val="none"/>
        </w:rPr>
        <w:t>)</w:t>
      </w:r>
      <w:r w:rsidR="00947C2B" w:rsidRPr="00E766EC">
        <w:rPr>
          <w:rFonts w:asciiTheme="minorHAnsi" w:hAnsiTheme="minorHAnsi" w:cstheme="minorHAnsi"/>
          <w:sz w:val="24"/>
          <w:u w:val="none"/>
        </w:rPr>
        <w:t xml:space="preserve"> is also exempt from </w:t>
      </w:r>
      <w:proofErr w:type="gramStart"/>
      <w:r w:rsidR="00947C2B" w:rsidRPr="00E766EC">
        <w:rPr>
          <w:rFonts w:asciiTheme="minorHAnsi" w:hAnsiTheme="minorHAnsi" w:cstheme="minorHAnsi"/>
          <w:sz w:val="24"/>
          <w:u w:val="none"/>
        </w:rPr>
        <w:t>this  Policy</w:t>
      </w:r>
      <w:proofErr w:type="gramEnd"/>
      <w:r w:rsidR="00947C2B" w:rsidRPr="00E766EC">
        <w:rPr>
          <w:rFonts w:asciiTheme="minorHAnsi" w:hAnsiTheme="minorHAnsi" w:cstheme="minorHAnsi"/>
          <w:sz w:val="24"/>
          <w:u w:val="none"/>
        </w:rPr>
        <w:t xml:space="preserve">. Any individual </w:t>
      </w:r>
      <w:r w:rsidR="007F3CA0" w:rsidRPr="00E766EC">
        <w:rPr>
          <w:rFonts w:asciiTheme="minorHAnsi" w:hAnsiTheme="minorHAnsi" w:cstheme="minorHAnsi"/>
          <w:sz w:val="24"/>
          <w:u w:val="none"/>
        </w:rPr>
        <w:t xml:space="preserve">trading </w:t>
      </w:r>
      <w:r w:rsidR="00947C2B" w:rsidRPr="00E766EC">
        <w:rPr>
          <w:rFonts w:asciiTheme="minorHAnsi" w:hAnsiTheme="minorHAnsi" w:cstheme="minorHAnsi"/>
          <w:sz w:val="24"/>
          <w:u w:val="none"/>
        </w:rPr>
        <w:t xml:space="preserve">plan that conforms with Rule 10b5-1 </w:t>
      </w:r>
      <w:r w:rsidR="007F3CA0" w:rsidRPr="00E766EC">
        <w:rPr>
          <w:rFonts w:asciiTheme="minorHAnsi" w:hAnsiTheme="minorHAnsi" w:cstheme="minorHAnsi"/>
          <w:sz w:val="24"/>
          <w:u w:val="none"/>
        </w:rPr>
        <w:t xml:space="preserve">promulgated </w:t>
      </w:r>
      <w:r w:rsidR="00947C2B" w:rsidRPr="00E766EC">
        <w:rPr>
          <w:rFonts w:asciiTheme="minorHAnsi" w:hAnsiTheme="minorHAnsi" w:cstheme="minorHAnsi"/>
          <w:sz w:val="24"/>
          <w:u w:val="none"/>
        </w:rPr>
        <w:t xml:space="preserve">by the U.S. SEC is also exempt from this policy. </w:t>
      </w:r>
    </w:p>
    <w:p w14:paraId="3CD2C954" w14:textId="77777777" w:rsidR="00B039DD" w:rsidRPr="00E766EC" w:rsidRDefault="00B039DD" w:rsidP="004E69C3">
      <w:pPr>
        <w:pStyle w:val="BodyText"/>
        <w:spacing w:before="1"/>
        <w:ind w:left="0"/>
        <w:jc w:val="both"/>
        <w:rPr>
          <w:rFonts w:asciiTheme="minorHAnsi" w:hAnsiTheme="minorHAnsi" w:cstheme="minorHAnsi"/>
        </w:rPr>
      </w:pPr>
    </w:p>
    <w:p w14:paraId="7D8275E0" w14:textId="77777777" w:rsidR="00B039DD" w:rsidRPr="00E766EC" w:rsidRDefault="0049289F" w:rsidP="004E69C3">
      <w:pPr>
        <w:pStyle w:val="ListParagraph"/>
        <w:numPr>
          <w:ilvl w:val="0"/>
          <w:numId w:val="4"/>
        </w:numPr>
        <w:tabs>
          <w:tab w:val="left" w:pos="1021"/>
        </w:tabs>
        <w:jc w:val="both"/>
        <w:rPr>
          <w:rFonts w:asciiTheme="minorHAnsi" w:hAnsiTheme="minorHAnsi" w:cstheme="minorHAnsi"/>
          <w:sz w:val="24"/>
          <w:u w:val="none"/>
        </w:rPr>
      </w:pPr>
      <w:r w:rsidRPr="00E766EC">
        <w:rPr>
          <w:rFonts w:asciiTheme="minorHAnsi" w:hAnsiTheme="minorHAnsi" w:cstheme="minorHAnsi"/>
          <w:sz w:val="24"/>
        </w:rPr>
        <w:t>Applicability of Policy to Inside Information Regarding Other Companies</w:t>
      </w:r>
      <w:r w:rsidRPr="00E766EC">
        <w:rPr>
          <w:rFonts w:asciiTheme="minorHAnsi" w:hAnsiTheme="minorHAnsi" w:cstheme="minorHAnsi"/>
          <w:sz w:val="24"/>
          <w:u w:val="none"/>
        </w:rPr>
        <w:t xml:space="preserve">. This Policy and the foregoing guidelines also apply to Material Nonpublic Information relating to other companies, including the Company’s customers, </w:t>
      </w:r>
      <w:proofErr w:type="gramStart"/>
      <w:r w:rsidRPr="00E766EC">
        <w:rPr>
          <w:rFonts w:asciiTheme="minorHAnsi" w:hAnsiTheme="minorHAnsi" w:cstheme="minorHAnsi"/>
          <w:sz w:val="24"/>
          <w:u w:val="none"/>
        </w:rPr>
        <w:t>vendors</w:t>
      </w:r>
      <w:proofErr w:type="gramEnd"/>
      <w:r w:rsidRPr="00E766EC">
        <w:rPr>
          <w:rFonts w:asciiTheme="minorHAnsi" w:hAnsiTheme="minorHAnsi" w:cstheme="minorHAnsi"/>
          <w:sz w:val="24"/>
          <w:u w:val="none"/>
        </w:rPr>
        <w:t xml:space="preserve"> or suppliers (“</w:t>
      </w:r>
      <w:r w:rsidRPr="00E766EC">
        <w:rPr>
          <w:rFonts w:asciiTheme="minorHAnsi" w:hAnsiTheme="minorHAnsi" w:cstheme="minorHAnsi"/>
          <w:b/>
          <w:sz w:val="24"/>
          <w:u w:val="none"/>
        </w:rPr>
        <w:t>business partners</w:t>
      </w:r>
      <w:r w:rsidRPr="00E766EC">
        <w:rPr>
          <w:rFonts w:asciiTheme="minorHAnsi" w:hAnsiTheme="minorHAnsi" w:cstheme="minorHAnsi"/>
          <w:sz w:val="24"/>
          <w:u w:val="none"/>
        </w:rPr>
        <w:t>”), when that information is obtained in the course of employment with, or other services performed on behalf of, the Company. Civil and criminal penalties, and termination of employment, may result from trading on inside information regarding the Company’s business partners. All employees should treat Material</w:t>
      </w:r>
      <w:r w:rsidRPr="00E766EC">
        <w:rPr>
          <w:rFonts w:asciiTheme="minorHAnsi" w:hAnsiTheme="minorHAnsi" w:cstheme="minorHAnsi"/>
          <w:spacing w:val="-2"/>
          <w:sz w:val="24"/>
          <w:u w:val="none"/>
        </w:rPr>
        <w:t xml:space="preserve"> </w:t>
      </w:r>
      <w:r w:rsidRPr="00E766EC">
        <w:rPr>
          <w:rFonts w:asciiTheme="minorHAnsi" w:hAnsiTheme="minorHAnsi" w:cstheme="minorHAnsi"/>
          <w:sz w:val="24"/>
          <w:u w:val="none"/>
        </w:rPr>
        <w:t>Nonpublic</w:t>
      </w:r>
    </w:p>
    <w:p w14:paraId="10F114D4" w14:textId="77777777" w:rsidR="00B039DD" w:rsidRPr="00E766EC" w:rsidRDefault="0049289F" w:rsidP="004E69C3">
      <w:pPr>
        <w:pStyle w:val="BodyText"/>
        <w:spacing w:before="1"/>
        <w:jc w:val="both"/>
        <w:rPr>
          <w:rFonts w:asciiTheme="minorHAnsi" w:hAnsiTheme="minorHAnsi" w:cstheme="minorHAnsi"/>
        </w:rPr>
      </w:pPr>
      <w:r w:rsidRPr="00E766EC">
        <w:rPr>
          <w:rFonts w:asciiTheme="minorHAnsi" w:hAnsiTheme="minorHAnsi" w:cstheme="minorHAnsi"/>
        </w:rPr>
        <w:t>Information about the Company’s business partners with the same care required with respect to information related directly to the Company.</w:t>
      </w:r>
    </w:p>
    <w:p w14:paraId="0BB8C5A3" w14:textId="77777777" w:rsidR="00B039DD" w:rsidRPr="00E766EC" w:rsidRDefault="00B039DD" w:rsidP="004E69C3">
      <w:pPr>
        <w:pStyle w:val="BodyText"/>
        <w:spacing w:before="11"/>
        <w:ind w:left="0"/>
        <w:jc w:val="both"/>
        <w:rPr>
          <w:rFonts w:asciiTheme="minorHAnsi" w:hAnsiTheme="minorHAnsi" w:cstheme="minorHAnsi"/>
          <w:sz w:val="23"/>
        </w:rPr>
      </w:pPr>
    </w:p>
    <w:p w14:paraId="4A82AFAB" w14:textId="77777777" w:rsidR="00B039DD" w:rsidRPr="00E766EC" w:rsidRDefault="0049289F" w:rsidP="004E69C3">
      <w:pPr>
        <w:pStyle w:val="ListParagraph"/>
        <w:numPr>
          <w:ilvl w:val="0"/>
          <w:numId w:val="4"/>
        </w:numPr>
        <w:tabs>
          <w:tab w:val="left" w:pos="1021"/>
        </w:tabs>
        <w:jc w:val="both"/>
        <w:rPr>
          <w:rFonts w:asciiTheme="minorHAnsi" w:hAnsiTheme="minorHAnsi" w:cstheme="minorHAnsi"/>
          <w:sz w:val="24"/>
          <w:u w:val="none"/>
        </w:rPr>
      </w:pPr>
      <w:r w:rsidRPr="00E766EC">
        <w:rPr>
          <w:rFonts w:asciiTheme="minorHAnsi" w:hAnsiTheme="minorHAnsi" w:cstheme="minorHAnsi"/>
          <w:sz w:val="24"/>
        </w:rPr>
        <w:t>Section 16 Compliance</w:t>
      </w:r>
      <w:r w:rsidRPr="00E766EC">
        <w:rPr>
          <w:rFonts w:asciiTheme="minorHAnsi" w:hAnsiTheme="minorHAnsi" w:cstheme="minorHAnsi"/>
          <w:sz w:val="24"/>
          <w:u w:val="none"/>
        </w:rPr>
        <w:t>. Directors and officers of the Company must also comply with the reporting obligations and limitations on short-swing transactions set forth in</w:t>
      </w:r>
      <w:r w:rsidRPr="00E766EC">
        <w:rPr>
          <w:rFonts w:asciiTheme="minorHAnsi" w:hAnsiTheme="minorHAnsi" w:cstheme="minorHAnsi"/>
          <w:spacing w:val="-15"/>
          <w:sz w:val="24"/>
          <w:u w:val="none"/>
        </w:rPr>
        <w:t xml:space="preserve"> </w:t>
      </w:r>
      <w:r w:rsidRPr="00E766EC">
        <w:rPr>
          <w:rFonts w:asciiTheme="minorHAnsi" w:hAnsiTheme="minorHAnsi" w:cstheme="minorHAnsi"/>
          <w:sz w:val="24"/>
          <w:u w:val="none"/>
        </w:rPr>
        <w:t xml:space="preserve">Section 16 of the Securities Exchange Act of 1934, as amended. The practical effect of these provisions is that officers and directors who purchase and sell the Company’s securities within a six-month </w:t>
      </w:r>
      <w:r w:rsidRPr="00E766EC">
        <w:rPr>
          <w:rFonts w:asciiTheme="minorHAnsi" w:hAnsiTheme="minorHAnsi" w:cstheme="minorHAnsi"/>
          <w:sz w:val="24"/>
          <w:u w:val="none"/>
        </w:rPr>
        <w:lastRenderedPageBreak/>
        <w:t xml:space="preserve">period must disgorge all profits to the Company </w:t>
      </w:r>
      <w:proofErr w:type="gramStart"/>
      <w:r w:rsidRPr="00E766EC">
        <w:rPr>
          <w:rFonts w:asciiTheme="minorHAnsi" w:hAnsiTheme="minorHAnsi" w:cstheme="minorHAnsi"/>
          <w:sz w:val="24"/>
          <w:u w:val="none"/>
        </w:rPr>
        <w:t>whether or not</w:t>
      </w:r>
      <w:proofErr w:type="gramEnd"/>
      <w:r w:rsidRPr="00E766EC">
        <w:rPr>
          <w:rFonts w:asciiTheme="minorHAnsi" w:hAnsiTheme="minorHAnsi" w:cstheme="minorHAnsi"/>
          <w:sz w:val="24"/>
          <w:u w:val="none"/>
        </w:rPr>
        <w:t xml:space="preserve"> they had knowledge of any Material Nonpublic Information. Under these provisions, and so long as certain other criteria are met, neither the receipt of an option under the Company’s option plans nor the exercise of that option (so long as it is not</w:t>
      </w:r>
      <w:r w:rsidRPr="00E766EC">
        <w:rPr>
          <w:rFonts w:asciiTheme="minorHAnsi" w:hAnsiTheme="minorHAnsi" w:cstheme="minorHAnsi"/>
          <w:spacing w:val="-11"/>
          <w:sz w:val="24"/>
          <w:u w:val="none"/>
        </w:rPr>
        <w:t xml:space="preserve"> </w:t>
      </w:r>
      <w:r w:rsidRPr="00E766EC">
        <w:rPr>
          <w:rFonts w:asciiTheme="minorHAnsi" w:hAnsiTheme="minorHAnsi" w:cstheme="minorHAnsi"/>
          <w:sz w:val="24"/>
          <w:u w:val="none"/>
        </w:rPr>
        <w:t>“under</w:t>
      </w:r>
    </w:p>
    <w:p w14:paraId="129A0878" w14:textId="73ECA4ED" w:rsidR="00B039DD" w:rsidRPr="00E766EC" w:rsidRDefault="0049289F" w:rsidP="004E69C3">
      <w:pPr>
        <w:pStyle w:val="BodyText"/>
        <w:spacing w:before="1"/>
        <w:jc w:val="both"/>
        <w:rPr>
          <w:rFonts w:asciiTheme="minorHAnsi" w:hAnsiTheme="minorHAnsi" w:cstheme="minorHAnsi"/>
        </w:rPr>
      </w:pPr>
      <w:r w:rsidRPr="00E766EC">
        <w:rPr>
          <w:rFonts w:asciiTheme="minorHAnsi" w:hAnsiTheme="minorHAnsi" w:cstheme="minorHAnsi"/>
        </w:rPr>
        <w:t>water”) is deemed a purchase under Section 16; however, the sale of any such shares is a sale under Section 16. Moreover, no officer or director may ever make a short sale of the Company’s stock. In addition to following the pre-clearance rules stated above, the Company’s officers and directors shall assist the Compliance Officer to ensure compliance with Section 16 and its related rules and reporting requirements, as applicable.</w:t>
      </w:r>
    </w:p>
    <w:p w14:paraId="3A4392CD" w14:textId="77777777" w:rsidR="00B039DD" w:rsidRPr="00E766EC" w:rsidRDefault="00B039DD" w:rsidP="004E69C3">
      <w:pPr>
        <w:pStyle w:val="BodyText"/>
        <w:ind w:left="0"/>
        <w:jc w:val="both"/>
        <w:rPr>
          <w:rFonts w:asciiTheme="minorHAnsi" w:hAnsiTheme="minorHAnsi" w:cstheme="minorHAnsi"/>
        </w:rPr>
      </w:pPr>
    </w:p>
    <w:p w14:paraId="4D638695" w14:textId="4D8A4F14" w:rsidR="00B039DD" w:rsidRPr="00E766EC" w:rsidRDefault="0049289F" w:rsidP="004E69C3">
      <w:pPr>
        <w:pStyle w:val="ListParagraph"/>
        <w:numPr>
          <w:ilvl w:val="0"/>
          <w:numId w:val="4"/>
        </w:numPr>
        <w:tabs>
          <w:tab w:val="left" w:pos="1021"/>
        </w:tabs>
        <w:jc w:val="both"/>
        <w:rPr>
          <w:rFonts w:asciiTheme="minorHAnsi" w:hAnsiTheme="minorHAnsi" w:cstheme="minorHAnsi"/>
          <w:sz w:val="24"/>
          <w:u w:val="none"/>
        </w:rPr>
      </w:pPr>
      <w:r w:rsidRPr="00E766EC">
        <w:rPr>
          <w:rFonts w:asciiTheme="minorHAnsi" w:hAnsiTheme="minorHAnsi" w:cstheme="minorHAnsi"/>
          <w:sz w:val="24"/>
        </w:rPr>
        <w:t>Inquiries</w:t>
      </w:r>
      <w:r w:rsidRPr="00E766EC">
        <w:rPr>
          <w:rFonts w:asciiTheme="minorHAnsi" w:hAnsiTheme="minorHAnsi" w:cstheme="minorHAnsi"/>
          <w:sz w:val="24"/>
          <w:u w:val="none"/>
        </w:rPr>
        <w:t xml:space="preserve">. Please direct your questions as to any of the matters discussed in this Policy to the Company’s Insider Trading Compliance Officer at </w:t>
      </w:r>
      <w:r w:rsidRPr="00872EA4">
        <w:rPr>
          <w:rFonts w:asciiTheme="minorHAnsi" w:hAnsiTheme="minorHAnsi" w:cstheme="minorHAnsi"/>
          <w:sz w:val="24"/>
          <w:u w:val="none"/>
        </w:rPr>
        <w:t>(720)</w:t>
      </w:r>
      <w:r w:rsidRPr="00872EA4">
        <w:rPr>
          <w:rFonts w:asciiTheme="minorHAnsi" w:hAnsiTheme="minorHAnsi" w:cstheme="minorHAnsi"/>
          <w:spacing w:val="-4"/>
          <w:sz w:val="24"/>
          <w:u w:val="none"/>
        </w:rPr>
        <w:t xml:space="preserve"> </w:t>
      </w:r>
      <w:r w:rsidRPr="00872EA4">
        <w:rPr>
          <w:rFonts w:asciiTheme="minorHAnsi" w:hAnsiTheme="minorHAnsi" w:cstheme="minorHAnsi"/>
          <w:sz w:val="24"/>
          <w:u w:val="none"/>
        </w:rPr>
        <w:t>459-385</w:t>
      </w:r>
      <w:r w:rsidR="000C1D3C" w:rsidRPr="00872EA4">
        <w:rPr>
          <w:rFonts w:asciiTheme="minorHAnsi" w:hAnsiTheme="minorHAnsi" w:cstheme="minorHAnsi"/>
          <w:sz w:val="24"/>
          <w:u w:val="none"/>
        </w:rPr>
        <w:t>1</w:t>
      </w:r>
      <w:r w:rsidRPr="00E766EC">
        <w:rPr>
          <w:rFonts w:asciiTheme="minorHAnsi" w:hAnsiTheme="minorHAnsi" w:cstheme="minorHAnsi"/>
          <w:sz w:val="24"/>
          <w:u w:val="none"/>
        </w:rPr>
        <w:t>.</w:t>
      </w:r>
    </w:p>
    <w:p w14:paraId="7E2EE03C" w14:textId="77777777" w:rsidR="004F3B1A" w:rsidRPr="00E766EC" w:rsidRDefault="004F3B1A" w:rsidP="004E69C3">
      <w:pPr>
        <w:jc w:val="both"/>
        <w:rPr>
          <w:rFonts w:asciiTheme="minorHAnsi" w:hAnsiTheme="minorHAnsi" w:cstheme="minorHAnsi"/>
          <w:sz w:val="24"/>
        </w:rPr>
      </w:pPr>
    </w:p>
    <w:p w14:paraId="3149242A" w14:textId="274951DB" w:rsidR="00B039DD" w:rsidRPr="0082679B" w:rsidRDefault="0049289F" w:rsidP="006E630B">
      <w:pPr>
        <w:pStyle w:val="BodyText"/>
        <w:ind w:left="300" w:firstLine="420"/>
        <w:jc w:val="both"/>
        <w:rPr>
          <w:rFonts w:asciiTheme="minorHAnsi" w:hAnsiTheme="minorHAnsi" w:cstheme="minorHAnsi"/>
        </w:rPr>
      </w:pPr>
      <w:r w:rsidRPr="0082679B">
        <w:rPr>
          <w:rFonts w:asciiTheme="minorHAnsi" w:hAnsiTheme="minorHAnsi" w:cstheme="minorHAnsi"/>
        </w:rPr>
        <w:t>REPORTING CONTACTS FOR QUESTIONS ABOUT INSIDER TRADING:</w:t>
      </w:r>
    </w:p>
    <w:p w14:paraId="3186DA04" w14:textId="77777777" w:rsidR="00B039DD" w:rsidRPr="0082679B" w:rsidRDefault="00B039DD" w:rsidP="006E630B">
      <w:pPr>
        <w:pStyle w:val="BodyText"/>
        <w:spacing w:before="8"/>
        <w:ind w:left="0" w:firstLine="420"/>
        <w:jc w:val="both"/>
        <w:rPr>
          <w:rFonts w:asciiTheme="minorHAnsi" w:hAnsiTheme="minorHAnsi" w:cstheme="minorHAnsi"/>
          <w:sz w:val="26"/>
        </w:rPr>
      </w:pPr>
    </w:p>
    <w:tbl>
      <w:tblPr>
        <w:tblW w:w="0" w:type="auto"/>
        <w:tblInd w:w="100" w:type="dxa"/>
        <w:tblLayout w:type="fixed"/>
        <w:tblCellMar>
          <w:left w:w="0" w:type="dxa"/>
          <w:right w:w="0" w:type="dxa"/>
        </w:tblCellMar>
        <w:tblLook w:val="01E0" w:firstRow="1" w:lastRow="1" w:firstColumn="1" w:lastColumn="1" w:noHBand="0" w:noVBand="0"/>
      </w:tblPr>
      <w:tblGrid>
        <w:gridCol w:w="4767"/>
        <w:gridCol w:w="4853"/>
      </w:tblGrid>
      <w:tr w:rsidR="00B039DD" w:rsidRPr="0082679B" w14:paraId="200E5D7E" w14:textId="77777777" w:rsidTr="007F3CA0">
        <w:trPr>
          <w:trHeight w:val="2197"/>
        </w:trPr>
        <w:tc>
          <w:tcPr>
            <w:tcW w:w="4767" w:type="dxa"/>
          </w:tcPr>
          <w:p w14:paraId="1D669F73" w14:textId="77777777" w:rsidR="00B039DD" w:rsidRPr="0082679B" w:rsidRDefault="0049289F" w:rsidP="006E630B">
            <w:pPr>
              <w:pStyle w:val="TableParagraph"/>
              <w:spacing w:line="266" w:lineRule="exact"/>
              <w:ind w:left="200" w:firstLine="420"/>
              <w:jc w:val="both"/>
              <w:rPr>
                <w:rFonts w:asciiTheme="minorHAnsi" w:hAnsiTheme="minorHAnsi" w:cstheme="minorHAnsi"/>
                <w:sz w:val="24"/>
              </w:rPr>
            </w:pPr>
            <w:r w:rsidRPr="0082679B">
              <w:rPr>
                <w:rFonts w:asciiTheme="minorHAnsi" w:hAnsiTheme="minorHAnsi" w:cstheme="minorHAnsi"/>
                <w:sz w:val="24"/>
              </w:rPr>
              <w:t>To Policy Compliance Officer:</w:t>
            </w:r>
          </w:p>
          <w:p w14:paraId="04FFCA02" w14:textId="77777777" w:rsidR="00B039DD" w:rsidRPr="0082679B" w:rsidRDefault="00B039DD" w:rsidP="006E630B">
            <w:pPr>
              <w:pStyle w:val="TableParagraph"/>
              <w:ind w:left="0" w:firstLine="420"/>
              <w:jc w:val="both"/>
              <w:rPr>
                <w:rFonts w:asciiTheme="minorHAnsi" w:hAnsiTheme="minorHAnsi" w:cstheme="minorHAnsi"/>
                <w:sz w:val="24"/>
              </w:rPr>
            </w:pPr>
          </w:p>
          <w:p w14:paraId="005B431D" w14:textId="379DA8DF" w:rsidR="000C1D3C" w:rsidRPr="0082679B" w:rsidRDefault="0049289F" w:rsidP="006E630B">
            <w:pPr>
              <w:pStyle w:val="TableParagraph"/>
              <w:ind w:firstLine="420"/>
              <w:jc w:val="both"/>
              <w:rPr>
                <w:rFonts w:asciiTheme="minorHAnsi" w:hAnsiTheme="minorHAnsi" w:cstheme="minorHAnsi"/>
                <w:sz w:val="24"/>
              </w:rPr>
            </w:pPr>
            <w:r w:rsidRPr="0082679B">
              <w:rPr>
                <w:rFonts w:asciiTheme="minorHAnsi" w:hAnsiTheme="minorHAnsi" w:cstheme="minorHAnsi"/>
                <w:sz w:val="24"/>
              </w:rPr>
              <w:t xml:space="preserve">Gold Resource </w:t>
            </w:r>
            <w:r w:rsidR="000C1D3C" w:rsidRPr="0082679B">
              <w:rPr>
                <w:rFonts w:asciiTheme="minorHAnsi" w:hAnsiTheme="minorHAnsi" w:cstheme="minorHAnsi"/>
                <w:sz w:val="24"/>
              </w:rPr>
              <w:t>Corporation</w:t>
            </w:r>
          </w:p>
          <w:p w14:paraId="63F57049" w14:textId="68EB484A" w:rsidR="00B039DD" w:rsidRPr="0082679B" w:rsidRDefault="0049289F" w:rsidP="006E630B">
            <w:pPr>
              <w:pStyle w:val="TableParagraph"/>
              <w:ind w:firstLine="420"/>
              <w:jc w:val="both"/>
              <w:rPr>
                <w:rFonts w:asciiTheme="minorHAnsi" w:hAnsiTheme="minorHAnsi" w:cstheme="minorHAnsi"/>
                <w:sz w:val="24"/>
              </w:rPr>
            </w:pPr>
            <w:r w:rsidRPr="0082679B">
              <w:rPr>
                <w:rFonts w:asciiTheme="minorHAnsi" w:hAnsiTheme="minorHAnsi" w:cstheme="minorHAnsi"/>
                <w:sz w:val="24"/>
              </w:rPr>
              <w:t xml:space="preserve">Attn: </w:t>
            </w:r>
            <w:r w:rsidR="0080603C">
              <w:rPr>
                <w:rFonts w:asciiTheme="minorHAnsi" w:hAnsiTheme="minorHAnsi" w:cstheme="minorHAnsi"/>
                <w:sz w:val="24"/>
              </w:rPr>
              <w:t xml:space="preserve">Allen </w:t>
            </w:r>
            <w:r w:rsidR="005B0633">
              <w:rPr>
                <w:rFonts w:asciiTheme="minorHAnsi" w:hAnsiTheme="minorHAnsi" w:cstheme="minorHAnsi"/>
                <w:sz w:val="24"/>
              </w:rPr>
              <w:t>Palmiere</w:t>
            </w:r>
          </w:p>
          <w:p w14:paraId="59E19E3F" w14:textId="41F39437" w:rsidR="00B039DD" w:rsidRPr="0082679B" w:rsidRDefault="005B0633" w:rsidP="006E630B">
            <w:pPr>
              <w:pStyle w:val="TableParagraph"/>
              <w:ind w:firstLine="420"/>
              <w:jc w:val="both"/>
              <w:rPr>
                <w:rFonts w:asciiTheme="minorHAnsi" w:hAnsiTheme="minorHAnsi" w:cstheme="minorHAnsi"/>
                <w:sz w:val="24"/>
              </w:rPr>
            </w:pPr>
            <w:r>
              <w:rPr>
                <w:rFonts w:asciiTheme="minorHAnsi" w:hAnsiTheme="minorHAnsi" w:cstheme="minorHAnsi"/>
                <w:sz w:val="24"/>
              </w:rPr>
              <w:t xml:space="preserve">7900 </w:t>
            </w:r>
            <w:r w:rsidR="005E532F">
              <w:rPr>
                <w:rFonts w:asciiTheme="minorHAnsi" w:hAnsiTheme="minorHAnsi" w:cstheme="minorHAnsi"/>
                <w:sz w:val="24"/>
              </w:rPr>
              <w:t>East Union Ave</w:t>
            </w:r>
            <w:r w:rsidR="0049289F" w:rsidRPr="0082679B">
              <w:rPr>
                <w:rFonts w:asciiTheme="minorHAnsi" w:hAnsiTheme="minorHAnsi" w:cstheme="minorHAnsi"/>
                <w:sz w:val="24"/>
              </w:rPr>
              <w:t xml:space="preserve">. Suite </w:t>
            </w:r>
            <w:r w:rsidR="005E532F">
              <w:rPr>
                <w:rFonts w:asciiTheme="minorHAnsi" w:hAnsiTheme="minorHAnsi" w:cstheme="minorHAnsi"/>
                <w:sz w:val="24"/>
              </w:rPr>
              <w:t>320</w:t>
            </w:r>
          </w:p>
          <w:p w14:paraId="3F80CF26" w14:textId="65F6885D" w:rsidR="00B039DD" w:rsidRPr="0082679B" w:rsidRDefault="0049289F" w:rsidP="006E630B">
            <w:pPr>
              <w:pStyle w:val="TableParagraph"/>
              <w:ind w:firstLine="420"/>
              <w:jc w:val="both"/>
              <w:rPr>
                <w:rFonts w:asciiTheme="minorHAnsi" w:hAnsiTheme="minorHAnsi" w:cstheme="minorHAnsi"/>
                <w:sz w:val="24"/>
              </w:rPr>
            </w:pPr>
            <w:r w:rsidRPr="0082679B">
              <w:rPr>
                <w:rFonts w:asciiTheme="minorHAnsi" w:hAnsiTheme="minorHAnsi" w:cstheme="minorHAnsi"/>
                <w:sz w:val="24"/>
              </w:rPr>
              <w:t>Denver, CO 802</w:t>
            </w:r>
            <w:r w:rsidR="005E532F">
              <w:rPr>
                <w:rFonts w:asciiTheme="minorHAnsi" w:hAnsiTheme="minorHAnsi" w:cstheme="minorHAnsi"/>
                <w:sz w:val="24"/>
              </w:rPr>
              <w:t>37</w:t>
            </w:r>
          </w:p>
          <w:p w14:paraId="3F7D17ED" w14:textId="3D0BB4F7" w:rsidR="004E69C3" w:rsidRPr="0082679B" w:rsidRDefault="0049289F" w:rsidP="006E630B">
            <w:pPr>
              <w:pStyle w:val="TableParagraph"/>
              <w:ind w:firstLine="420"/>
              <w:jc w:val="both"/>
              <w:rPr>
                <w:rFonts w:asciiTheme="minorHAnsi" w:hAnsiTheme="minorHAnsi" w:cstheme="minorHAnsi"/>
                <w:sz w:val="24"/>
              </w:rPr>
            </w:pPr>
            <w:r w:rsidRPr="0082679B">
              <w:rPr>
                <w:rFonts w:asciiTheme="minorHAnsi" w:hAnsiTheme="minorHAnsi" w:cstheme="minorHAnsi"/>
                <w:sz w:val="24"/>
              </w:rPr>
              <w:t>1-720-459-385</w:t>
            </w:r>
            <w:r w:rsidR="000C1D3C" w:rsidRPr="0082679B">
              <w:rPr>
                <w:rFonts w:asciiTheme="minorHAnsi" w:hAnsiTheme="minorHAnsi" w:cstheme="minorHAnsi"/>
                <w:sz w:val="24"/>
              </w:rPr>
              <w:t>1</w:t>
            </w:r>
          </w:p>
          <w:p w14:paraId="14CA9086" w14:textId="26A3AE17" w:rsidR="00B039DD" w:rsidRPr="0082679B" w:rsidRDefault="009655B3" w:rsidP="006E630B">
            <w:pPr>
              <w:pStyle w:val="TableParagraph"/>
              <w:spacing w:line="256" w:lineRule="exact"/>
              <w:ind w:firstLine="420"/>
              <w:jc w:val="both"/>
              <w:rPr>
                <w:rFonts w:asciiTheme="minorHAnsi" w:hAnsiTheme="minorHAnsi" w:cstheme="minorHAnsi"/>
                <w:sz w:val="24"/>
              </w:rPr>
            </w:pPr>
            <w:hyperlink r:id="rId8" w:history="1">
              <w:r w:rsidR="00DB6AB8" w:rsidRPr="00A162C7">
                <w:rPr>
                  <w:rStyle w:val="Hyperlink"/>
                  <w:rFonts w:asciiTheme="minorHAnsi" w:hAnsiTheme="minorHAnsi" w:cstheme="minorHAnsi"/>
                  <w:sz w:val="24"/>
                </w:rPr>
                <w:t>allen.palmiere@grc-usa.com</w:t>
              </w:r>
            </w:hyperlink>
          </w:p>
        </w:tc>
        <w:tc>
          <w:tcPr>
            <w:tcW w:w="4853" w:type="dxa"/>
          </w:tcPr>
          <w:p w14:paraId="3A17318F" w14:textId="77777777" w:rsidR="00B039DD" w:rsidRPr="0082679B" w:rsidRDefault="0049289F" w:rsidP="006E630B">
            <w:pPr>
              <w:pStyle w:val="TableParagraph"/>
              <w:spacing w:line="266" w:lineRule="exact"/>
              <w:ind w:left="130" w:firstLine="420"/>
              <w:jc w:val="both"/>
              <w:rPr>
                <w:rFonts w:asciiTheme="minorHAnsi" w:hAnsiTheme="minorHAnsi" w:cstheme="minorHAnsi"/>
                <w:sz w:val="24"/>
              </w:rPr>
            </w:pPr>
            <w:r w:rsidRPr="0082679B">
              <w:rPr>
                <w:rFonts w:asciiTheme="minorHAnsi" w:hAnsiTheme="minorHAnsi" w:cstheme="minorHAnsi"/>
                <w:sz w:val="24"/>
              </w:rPr>
              <w:t>To our outside legal counsel:</w:t>
            </w:r>
          </w:p>
          <w:p w14:paraId="26D4FC5D" w14:textId="77777777" w:rsidR="007F3CA0" w:rsidRPr="0082679B" w:rsidRDefault="007F3CA0" w:rsidP="006E630B">
            <w:pPr>
              <w:pStyle w:val="TableParagraph"/>
              <w:ind w:left="849" w:firstLine="420"/>
              <w:jc w:val="both"/>
              <w:rPr>
                <w:rFonts w:asciiTheme="minorHAnsi" w:hAnsiTheme="minorHAnsi" w:cstheme="minorHAnsi"/>
                <w:sz w:val="24"/>
              </w:rPr>
            </w:pPr>
          </w:p>
          <w:p w14:paraId="53E24537" w14:textId="53E05480" w:rsidR="007F3CA0" w:rsidRPr="0082679B" w:rsidRDefault="00E00CA3" w:rsidP="006E630B">
            <w:pPr>
              <w:pStyle w:val="TableParagraph"/>
              <w:ind w:left="849" w:firstLine="420"/>
              <w:jc w:val="both"/>
              <w:rPr>
                <w:rFonts w:asciiTheme="minorHAnsi" w:hAnsiTheme="minorHAnsi" w:cstheme="minorHAnsi"/>
                <w:sz w:val="24"/>
              </w:rPr>
            </w:pPr>
            <w:r w:rsidRPr="0082679B">
              <w:rPr>
                <w:rFonts w:asciiTheme="minorHAnsi" w:hAnsiTheme="minorHAnsi" w:cstheme="minorHAnsi"/>
                <w:sz w:val="24"/>
              </w:rPr>
              <w:t>Davis Graham &amp; Stubbs LLP</w:t>
            </w:r>
          </w:p>
          <w:p w14:paraId="2A86291F" w14:textId="5ED5D776" w:rsidR="007F3CA0" w:rsidRPr="0082679B" w:rsidRDefault="007F3CA0" w:rsidP="006E630B">
            <w:pPr>
              <w:pStyle w:val="TableParagraph"/>
              <w:ind w:left="849" w:firstLine="420"/>
              <w:jc w:val="both"/>
              <w:rPr>
                <w:rFonts w:asciiTheme="minorHAnsi" w:hAnsiTheme="minorHAnsi" w:cstheme="minorHAnsi"/>
                <w:sz w:val="24"/>
              </w:rPr>
            </w:pPr>
            <w:r w:rsidRPr="0082679B">
              <w:rPr>
                <w:rFonts w:asciiTheme="minorHAnsi" w:hAnsiTheme="minorHAnsi" w:cstheme="minorHAnsi"/>
                <w:sz w:val="24"/>
              </w:rPr>
              <w:t xml:space="preserve">Attn: </w:t>
            </w:r>
            <w:r w:rsidR="00E00CA3" w:rsidRPr="0082679B">
              <w:rPr>
                <w:rFonts w:asciiTheme="minorHAnsi" w:hAnsiTheme="minorHAnsi" w:cstheme="minorHAnsi"/>
                <w:sz w:val="24"/>
              </w:rPr>
              <w:t>Brian Boonstra</w:t>
            </w:r>
          </w:p>
          <w:p w14:paraId="77E45171" w14:textId="4CB7B949" w:rsidR="007F3CA0" w:rsidRPr="0082679B" w:rsidRDefault="00E00CA3" w:rsidP="006E630B">
            <w:pPr>
              <w:pStyle w:val="TableParagraph"/>
              <w:ind w:left="849" w:firstLine="420"/>
              <w:jc w:val="both"/>
              <w:rPr>
                <w:rFonts w:asciiTheme="minorHAnsi" w:hAnsiTheme="minorHAnsi" w:cstheme="minorHAnsi"/>
                <w:sz w:val="24"/>
              </w:rPr>
            </w:pPr>
            <w:r w:rsidRPr="0082679B">
              <w:rPr>
                <w:rFonts w:asciiTheme="minorHAnsi" w:hAnsiTheme="minorHAnsi" w:cstheme="minorHAnsi"/>
                <w:sz w:val="24"/>
              </w:rPr>
              <w:t>1550 17</w:t>
            </w:r>
            <w:r w:rsidRPr="0082679B">
              <w:rPr>
                <w:rFonts w:asciiTheme="minorHAnsi" w:hAnsiTheme="minorHAnsi" w:cstheme="minorHAnsi"/>
                <w:sz w:val="24"/>
                <w:vertAlign w:val="superscript"/>
              </w:rPr>
              <w:t>th</w:t>
            </w:r>
            <w:r w:rsidRPr="0082679B">
              <w:rPr>
                <w:rFonts w:asciiTheme="minorHAnsi" w:hAnsiTheme="minorHAnsi" w:cstheme="minorHAnsi"/>
                <w:sz w:val="24"/>
              </w:rPr>
              <w:t xml:space="preserve"> Street, Suite 500</w:t>
            </w:r>
            <w:r w:rsidR="007F3CA0" w:rsidRPr="0082679B">
              <w:rPr>
                <w:rFonts w:asciiTheme="minorHAnsi" w:hAnsiTheme="minorHAnsi" w:cstheme="minorHAnsi"/>
                <w:sz w:val="24"/>
              </w:rPr>
              <w:t xml:space="preserve"> Denver, CO USA 80202</w:t>
            </w:r>
          </w:p>
          <w:p w14:paraId="0D154B53" w14:textId="3F4C032E" w:rsidR="007F3CA0" w:rsidRPr="0082679B" w:rsidRDefault="007F3CA0" w:rsidP="006E630B">
            <w:pPr>
              <w:pStyle w:val="TableParagraph"/>
              <w:ind w:left="849" w:firstLine="420"/>
              <w:jc w:val="both"/>
              <w:rPr>
                <w:rFonts w:asciiTheme="minorHAnsi" w:hAnsiTheme="minorHAnsi" w:cstheme="minorHAnsi"/>
                <w:sz w:val="24"/>
              </w:rPr>
            </w:pPr>
            <w:r w:rsidRPr="0082679B">
              <w:rPr>
                <w:rFonts w:asciiTheme="minorHAnsi" w:hAnsiTheme="minorHAnsi" w:cstheme="minorHAnsi"/>
                <w:sz w:val="24"/>
              </w:rPr>
              <w:t>1-303-</w:t>
            </w:r>
            <w:r w:rsidR="00E00CA3" w:rsidRPr="0082679B">
              <w:rPr>
                <w:rFonts w:asciiTheme="minorHAnsi" w:hAnsiTheme="minorHAnsi" w:cstheme="minorHAnsi"/>
                <w:sz w:val="24"/>
              </w:rPr>
              <w:t>892-7348</w:t>
            </w:r>
          </w:p>
          <w:p w14:paraId="04F75897" w14:textId="6222D77F" w:rsidR="00B039DD" w:rsidRPr="0082679B" w:rsidRDefault="00E00CA3" w:rsidP="006E630B">
            <w:pPr>
              <w:pStyle w:val="TableParagraph"/>
              <w:spacing w:line="256" w:lineRule="exact"/>
              <w:ind w:left="850" w:firstLine="420"/>
              <w:jc w:val="both"/>
              <w:rPr>
                <w:rFonts w:asciiTheme="minorHAnsi" w:hAnsiTheme="minorHAnsi" w:cstheme="minorHAnsi"/>
                <w:sz w:val="24"/>
              </w:rPr>
            </w:pPr>
            <w:r w:rsidRPr="0082679B">
              <w:rPr>
                <w:rFonts w:asciiTheme="minorHAnsi" w:hAnsiTheme="minorHAnsi" w:cstheme="minorHAnsi"/>
                <w:sz w:val="24"/>
              </w:rPr>
              <w:t>brian.boonstra@dgslaw.com</w:t>
            </w:r>
          </w:p>
        </w:tc>
      </w:tr>
    </w:tbl>
    <w:p w14:paraId="62256CEF" w14:textId="77777777" w:rsidR="0049289F" w:rsidRPr="0082679B" w:rsidRDefault="0049289F" w:rsidP="004E69C3">
      <w:pPr>
        <w:jc w:val="both"/>
        <w:rPr>
          <w:rFonts w:asciiTheme="minorHAnsi" w:hAnsiTheme="minorHAnsi" w:cstheme="minorHAnsi"/>
        </w:rPr>
      </w:pPr>
    </w:p>
    <w:sectPr w:rsidR="0049289F" w:rsidRPr="0082679B" w:rsidSect="003C524E">
      <w:headerReference w:type="first" r:id="rId9"/>
      <w:pgSz w:w="12240" w:h="1584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3069" w14:textId="77777777" w:rsidR="009655B3" w:rsidRDefault="009655B3" w:rsidP="009600F6">
      <w:r>
        <w:separator/>
      </w:r>
    </w:p>
  </w:endnote>
  <w:endnote w:type="continuationSeparator" w:id="0">
    <w:p w14:paraId="7A1CFB8A" w14:textId="77777777" w:rsidR="009655B3" w:rsidRDefault="009655B3" w:rsidP="0096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3C79" w14:textId="77777777" w:rsidR="009655B3" w:rsidRDefault="009655B3" w:rsidP="009600F6">
      <w:r>
        <w:separator/>
      </w:r>
    </w:p>
  </w:footnote>
  <w:footnote w:type="continuationSeparator" w:id="0">
    <w:p w14:paraId="56A40B4B" w14:textId="77777777" w:rsidR="009655B3" w:rsidRDefault="009655B3" w:rsidP="0096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3113" w14:textId="06451239" w:rsidR="009600F6" w:rsidRDefault="009600F6" w:rsidP="003C524E">
    <w:pPr>
      <w:pStyle w:val="Header"/>
    </w:pPr>
    <w:r>
      <w:rPr>
        <w:noProof/>
      </w:rPr>
      <w:drawing>
        <wp:anchor distT="0" distB="0" distL="114300" distR="114300" simplePos="0" relativeHeight="251659264" behindDoc="0" locked="0" layoutInCell="1" allowOverlap="1" wp14:anchorId="22D8B993" wp14:editId="0B1C236C">
          <wp:simplePos x="0" y="0"/>
          <wp:positionH relativeFrom="margin">
            <wp:align>center</wp:align>
          </wp:positionH>
          <wp:positionV relativeFrom="margin">
            <wp:align>top</wp:align>
          </wp:positionV>
          <wp:extent cx="4184015" cy="788670"/>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42182" b="43317"/>
                  <a:stretch/>
                </pic:blipFill>
                <pic:spPr bwMode="auto">
                  <a:xfrm>
                    <a:off x="0" y="0"/>
                    <a:ext cx="4184015" cy="788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35B18"/>
    <w:multiLevelType w:val="hybridMultilevel"/>
    <w:tmpl w:val="6234D4CC"/>
    <w:lvl w:ilvl="0" w:tplc="678262D2">
      <w:start w:val="1"/>
      <w:numFmt w:val="upperRoman"/>
      <w:lvlText w:val="%1."/>
      <w:lvlJc w:val="left"/>
      <w:pPr>
        <w:ind w:left="1020" w:hanging="720"/>
        <w:jc w:val="left"/>
      </w:pPr>
      <w:rPr>
        <w:rFonts w:ascii="Times New Roman" w:eastAsia="Times New Roman" w:hAnsi="Times New Roman" w:cs="Times New Roman" w:hint="default"/>
        <w:spacing w:val="-5"/>
        <w:w w:val="99"/>
        <w:sz w:val="24"/>
        <w:szCs w:val="24"/>
        <w:lang w:val="en-US" w:eastAsia="en-US" w:bidi="en-US"/>
      </w:rPr>
    </w:lvl>
    <w:lvl w:ilvl="1" w:tplc="8E0E25AA">
      <w:start w:val="2"/>
      <w:numFmt w:val="upperLetter"/>
      <w:lvlText w:val="%2."/>
      <w:lvlJc w:val="left"/>
      <w:pPr>
        <w:ind w:left="1020" w:hanging="360"/>
        <w:jc w:val="left"/>
      </w:pPr>
      <w:rPr>
        <w:rFonts w:ascii="Times New Roman" w:eastAsia="Times New Roman" w:hAnsi="Times New Roman" w:cs="Times New Roman" w:hint="default"/>
        <w:spacing w:val="-1"/>
        <w:w w:val="99"/>
        <w:sz w:val="24"/>
        <w:szCs w:val="24"/>
        <w:lang w:val="en-US" w:eastAsia="en-US" w:bidi="en-US"/>
      </w:rPr>
    </w:lvl>
    <w:lvl w:ilvl="2" w:tplc="7F762FCE">
      <w:numFmt w:val="bullet"/>
      <w:lvlText w:val="•"/>
      <w:lvlJc w:val="left"/>
      <w:pPr>
        <w:ind w:left="2768" w:hanging="360"/>
      </w:pPr>
      <w:rPr>
        <w:rFonts w:hint="default"/>
        <w:lang w:val="en-US" w:eastAsia="en-US" w:bidi="en-US"/>
      </w:rPr>
    </w:lvl>
    <w:lvl w:ilvl="3" w:tplc="825464EC">
      <w:numFmt w:val="bullet"/>
      <w:lvlText w:val="•"/>
      <w:lvlJc w:val="left"/>
      <w:pPr>
        <w:ind w:left="3642" w:hanging="360"/>
      </w:pPr>
      <w:rPr>
        <w:rFonts w:hint="default"/>
        <w:lang w:val="en-US" w:eastAsia="en-US" w:bidi="en-US"/>
      </w:rPr>
    </w:lvl>
    <w:lvl w:ilvl="4" w:tplc="2916AC8E">
      <w:numFmt w:val="bullet"/>
      <w:lvlText w:val="•"/>
      <w:lvlJc w:val="left"/>
      <w:pPr>
        <w:ind w:left="4516" w:hanging="360"/>
      </w:pPr>
      <w:rPr>
        <w:rFonts w:hint="default"/>
        <w:lang w:val="en-US" w:eastAsia="en-US" w:bidi="en-US"/>
      </w:rPr>
    </w:lvl>
    <w:lvl w:ilvl="5" w:tplc="6608DEA8">
      <w:numFmt w:val="bullet"/>
      <w:lvlText w:val="•"/>
      <w:lvlJc w:val="left"/>
      <w:pPr>
        <w:ind w:left="5390" w:hanging="360"/>
      </w:pPr>
      <w:rPr>
        <w:rFonts w:hint="default"/>
        <w:lang w:val="en-US" w:eastAsia="en-US" w:bidi="en-US"/>
      </w:rPr>
    </w:lvl>
    <w:lvl w:ilvl="6" w:tplc="9374701E">
      <w:numFmt w:val="bullet"/>
      <w:lvlText w:val="•"/>
      <w:lvlJc w:val="left"/>
      <w:pPr>
        <w:ind w:left="6264" w:hanging="360"/>
      </w:pPr>
      <w:rPr>
        <w:rFonts w:hint="default"/>
        <w:lang w:val="en-US" w:eastAsia="en-US" w:bidi="en-US"/>
      </w:rPr>
    </w:lvl>
    <w:lvl w:ilvl="7" w:tplc="9AD2D7C2">
      <w:numFmt w:val="bullet"/>
      <w:lvlText w:val="•"/>
      <w:lvlJc w:val="left"/>
      <w:pPr>
        <w:ind w:left="7138" w:hanging="360"/>
      </w:pPr>
      <w:rPr>
        <w:rFonts w:hint="default"/>
        <w:lang w:val="en-US" w:eastAsia="en-US" w:bidi="en-US"/>
      </w:rPr>
    </w:lvl>
    <w:lvl w:ilvl="8" w:tplc="B8C6F8BE">
      <w:numFmt w:val="bullet"/>
      <w:lvlText w:val="•"/>
      <w:lvlJc w:val="left"/>
      <w:pPr>
        <w:ind w:left="8012" w:hanging="360"/>
      </w:pPr>
      <w:rPr>
        <w:rFonts w:hint="default"/>
        <w:lang w:val="en-US" w:eastAsia="en-US" w:bidi="en-US"/>
      </w:rPr>
    </w:lvl>
  </w:abstractNum>
  <w:abstractNum w:abstractNumId="1" w15:restartNumberingAfterBreak="0">
    <w:nsid w:val="5315035E"/>
    <w:multiLevelType w:val="hybridMultilevel"/>
    <w:tmpl w:val="CC8A4F42"/>
    <w:lvl w:ilvl="0" w:tplc="F102634A">
      <w:start w:val="1"/>
      <w:numFmt w:val="upperLetter"/>
      <w:lvlText w:val="%1."/>
      <w:lvlJc w:val="left"/>
      <w:pPr>
        <w:ind w:left="1020" w:hanging="36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C1AF4"/>
    <w:multiLevelType w:val="hybridMultilevel"/>
    <w:tmpl w:val="5EE049AA"/>
    <w:lvl w:ilvl="0" w:tplc="624C6B04">
      <w:numFmt w:val="bullet"/>
      <w:lvlText w:val=""/>
      <w:lvlJc w:val="left"/>
      <w:pPr>
        <w:ind w:left="1020" w:hanging="360"/>
      </w:pPr>
      <w:rPr>
        <w:rFonts w:ascii="Symbol" w:eastAsia="Symbol" w:hAnsi="Symbol" w:cs="Symbol" w:hint="default"/>
        <w:w w:val="100"/>
        <w:sz w:val="24"/>
        <w:szCs w:val="24"/>
        <w:lang w:val="en-US" w:eastAsia="en-US" w:bidi="en-US"/>
      </w:rPr>
    </w:lvl>
    <w:lvl w:ilvl="1" w:tplc="F9BAE8B6">
      <w:numFmt w:val="bullet"/>
      <w:lvlText w:val="•"/>
      <w:lvlJc w:val="left"/>
      <w:pPr>
        <w:ind w:left="1894" w:hanging="360"/>
      </w:pPr>
      <w:rPr>
        <w:rFonts w:hint="default"/>
        <w:lang w:val="en-US" w:eastAsia="en-US" w:bidi="en-US"/>
      </w:rPr>
    </w:lvl>
    <w:lvl w:ilvl="2" w:tplc="48323958">
      <w:numFmt w:val="bullet"/>
      <w:lvlText w:val="•"/>
      <w:lvlJc w:val="left"/>
      <w:pPr>
        <w:ind w:left="2768" w:hanging="360"/>
      </w:pPr>
      <w:rPr>
        <w:rFonts w:hint="default"/>
        <w:lang w:val="en-US" w:eastAsia="en-US" w:bidi="en-US"/>
      </w:rPr>
    </w:lvl>
    <w:lvl w:ilvl="3" w:tplc="56F0A56C">
      <w:numFmt w:val="bullet"/>
      <w:lvlText w:val="•"/>
      <w:lvlJc w:val="left"/>
      <w:pPr>
        <w:ind w:left="3642" w:hanging="360"/>
      </w:pPr>
      <w:rPr>
        <w:rFonts w:hint="default"/>
        <w:lang w:val="en-US" w:eastAsia="en-US" w:bidi="en-US"/>
      </w:rPr>
    </w:lvl>
    <w:lvl w:ilvl="4" w:tplc="D338AE8E">
      <w:numFmt w:val="bullet"/>
      <w:lvlText w:val="•"/>
      <w:lvlJc w:val="left"/>
      <w:pPr>
        <w:ind w:left="4516" w:hanging="360"/>
      </w:pPr>
      <w:rPr>
        <w:rFonts w:hint="default"/>
        <w:lang w:val="en-US" w:eastAsia="en-US" w:bidi="en-US"/>
      </w:rPr>
    </w:lvl>
    <w:lvl w:ilvl="5" w:tplc="26A01374">
      <w:numFmt w:val="bullet"/>
      <w:lvlText w:val="•"/>
      <w:lvlJc w:val="left"/>
      <w:pPr>
        <w:ind w:left="5390" w:hanging="360"/>
      </w:pPr>
      <w:rPr>
        <w:rFonts w:hint="default"/>
        <w:lang w:val="en-US" w:eastAsia="en-US" w:bidi="en-US"/>
      </w:rPr>
    </w:lvl>
    <w:lvl w:ilvl="6" w:tplc="9F3EBF6A">
      <w:numFmt w:val="bullet"/>
      <w:lvlText w:val="•"/>
      <w:lvlJc w:val="left"/>
      <w:pPr>
        <w:ind w:left="6264" w:hanging="360"/>
      </w:pPr>
      <w:rPr>
        <w:rFonts w:hint="default"/>
        <w:lang w:val="en-US" w:eastAsia="en-US" w:bidi="en-US"/>
      </w:rPr>
    </w:lvl>
    <w:lvl w:ilvl="7" w:tplc="CA56EA44">
      <w:numFmt w:val="bullet"/>
      <w:lvlText w:val="•"/>
      <w:lvlJc w:val="left"/>
      <w:pPr>
        <w:ind w:left="7138" w:hanging="360"/>
      </w:pPr>
      <w:rPr>
        <w:rFonts w:hint="default"/>
        <w:lang w:val="en-US" w:eastAsia="en-US" w:bidi="en-US"/>
      </w:rPr>
    </w:lvl>
    <w:lvl w:ilvl="8" w:tplc="F99EC5B6">
      <w:numFmt w:val="bullet"/>
      <w:lvlText w:val="•"/>
      <w:lvlJc w:val="left"/>
      <w:pPr>
        <w:ind w:left="8012" w:hanging="360"/>
      </w:pPr>
      <w:rPr>
        <w:rFonts w:hint="default"/>
        <w:lang w:val="en-US" w:eastAsia="en-US" w:bidi="en-US"/>
      </w:rPr>
    </w:lvl>
  </w:abstractNum>
  <w:abstractNum w:abstractNumId="3" w15:restartNumberingAfterBreak="0">
    <w:nsid w:val="7EEB4F9F"/>
    <w:multiLevelType w:val="hybridMultilevel"/>
    <w:tmpl w:val="B1AEFDAE"/>
    <w:lvl w:ilvl="0" w:tplc="8D6E2732">
      <w:start w:val="1"/>
      <w:numFmt w:val="upperLetter"/>
      <w:lvlText w:val="%1."/>
      <w:lvlJc w:val="left"/>
      <w:pPr>
        <w:ind w:left="1020" w:hanging="36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DD"/>
    <w:rsid w:val="000C01BE"/>
    <w:rsid w:val="000C1D3C"/>
    <w:rsid w:val="000F1BC3"/>
    <w:rsid w:val="00140C2F"/>
    <w:rsid w:val="0017233F"/>
    <w:rsid w:val="00214CD3"/>
    <w:rsid w:val="00243C27"/>
    <w:rsid w:val="002D00E6"/>
    <w:rsid w:val="002E1ED4"/>
    <w:rsid w:val="002E4FF3"/>
    <w:rsid w:val="00376E7C"/>
    <w:rsid w:val="00387D88"/>
    <w:rsid w:val="003A1E98"/>
    <w:rsid w:val="003C524E"/>
    <w:rsid w:val="004106F1"/>
    <w:rsid w:val="00436A33"/>
    <w:rsid w:val="0045195E"/>
    <w:rsid w:val="0049289F"/>
    <w:rsid w:val="00492DE1"/>
    <w:rsid w:val="0049703B"/>
    <w:rsid w:val="004E69C3"/>
    <w:rsid w:val="004E6E72"/>
    <w:rsid w:val="004F3B1A"/>
    <w:rsid w:val="00554847"/>
    <w:rsid w:val="005B0633"/>
    <w:rsid w:val="005E532F"/>
    <w:rsid w:val="005F01E0"/>
    <w:rsid w:val="00614ECF"/>
    <w:rsid w:val="00647685"/>
    <w:rsid w:val="006535CA"/>
    <w:rsid w:val="006E630B"/>
    <w:rsid w:val="006F3563"/>
    <w:rsid w:val="00704948"/>
    <w:rsid w:val="00734463"/>
    <w:rsid w:val="007353AF"/>
    <w:rsid w:val="007705C4"/>
    <w:rsid w:val="00772943"/>
    <w:rsid w:val="007F3CA0"/>
    <w:rsid w:val="007F5537"/>
    <w:rsid w:val="0080603C"/>
    <w:rsid w:val="0082679B"/>
    <w:rsid w:val="00840D84"/>
    <w:rsid w:val="00856624"/>
    <w:rsid w:val="00872EA4"/>
    <w:rsid w:val="008D2C9E"/>
    <w:rsid w:val="00947C2B"/>
    <w:rsid w:val="00955822"/>
    <w:rsid w:val="009600F6"/>
    <w:rsid w:val="009655B3"/>
    <w:rsid w:val="009722EA"/>
    <w:rsid w:val="0098008E"/>
    <w:rsid w:val="009B1241"/>
    <w:rsid w:val="009C7B01"/>
    <w:rsid w:val="009D733F"/>
    <w:rsid w:val="00A87FE3"/>
    <w:rsid w:val="00AA358E"/>
    <w:rsid w:val="00B039DD"/>
    <w:rsid w:val="00B0425F"/>
    <w:rsid w:val="00BF42B2"/>
    <w:rsid w:val="00C42C56"/>
    <w:rsid w:val="00D03A8C"/>
    <w:rsid w:val="00D331EA"/>
    <w:rsid w:val="00D61829"/>
    <w:rsid w:val="00D95356"/>
    <w:rsid w:val="00DB5367"/>
    <w:rsid w:val="00DB6AB8"/>
    <w:rsid w:val="00E00CA3"/>
    <w:rsid w:val="00E2099B"/>
    <w:rsid w:val="00E67197"/>
    <w:rsid w:val="00E766EC"/>
    <w:rsid w:val="00E97E9E"/>
    <w:rsid w:val="00EE606A"/>
    <w:rsid w:val="00F208F6"/>
    <w:rsid w:val="00F63A13"/>
    <w:rsid w:val="00FA019F"/>
    <w:rsid w:val="00FB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77A98"/>
  <w15:docId w15:val="{1476DCB2-1D13-4F08-9E1C-B4EA8F08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0"/>
    </w:pPr>
    <w:rPr>
      <w:sz w:val="24"/>
      <w:szCs w:val="24"/>
    </w:rPr>
  </w:style>
  <w:style w:type="paragraph" w:styleId="ListParagraph">
    <w:name w:val="List Paragraph"/>
    <w:basedOn w:val="Normal"/>
    <w:uiPriority w:val="1"/>
    <w:qFormat/>
    <w:pPr>
      <w:ind w:left="1020" w:hanging="360"/>
    </w:pPr>
    <w:rPr>
      <w:u w:val="single" w:color="000000"/>
    </w:rPr>
  </w:style>
  <w:style w:type="paragraph" w:customStyle="1" w:styleId="TableParagraph">
    <w:name w:val="Table Paragraph"/>
    <w:basedOn w:val="Normal"/>
    <w:uiPriority w:val="1"/>
    <w:qFormat/>
    <w:pPr>
      <w:ind w:left="919"/>
    </w:pPr>
  </w:style>
  <w:style w:type="character" w:styleId="Hyperlink">
    <w:name w:val="Hyperlink"/>
    <w:basedOn w:val="DefaultParagraphFont"/>
    <w:uiPriority w:val="99"/>
    <w:unhideWhenUsed/>
    <w:rsid w:val="007F3CA0"/>
    <w:rPr>
      <w:color w:val="0000FF" w:themeColor="hyperlink"/>
      <w:u w:val="single"/>
    </w:rPr>
  </w:style>
  <w:style w:type="paragraph" w:styleId="Header">
    <w:name w:val="header"/>
    <w:basedOn w:val="Normal"/>
    <w:link w:val="HeaderChar"/>
    <w:uiPriority w:val="99"/>
    <w:unhideWhenUsed/>
    <w:rsid w:val="009600F6"/>
    <w:pPr>
      <w:tabs>
        <w:tab w:val="center" w:pos="4680"/>
        <w:tab w:val="right" w:pos="9360"/>
      </w:tabs>
    </w:pPr>
  </w:style>
  <w:style w:type="character" w:customStyle="1" w:styleId="HeaderChar">
    <w:name w:val="Header Char"/>
    <w:basedOn w:val="DefaultParagraphFont"/>
    <w:link w:val="Header"/>
    <w:uiPriority w:val="99"/>
    <w:rsid w:val="009600F6"/>
    <w:rPr>
      <w:rFonts w:ascii="Times New Roman" w:eastAsia="Times New Roman" w:hAnsi="Times New Roman" w:cs="Times New Roman"/>
      <w:lang w:bidi="en-US"/>
    </w:rPr>
  </w:style>
  <w:style w:type="paragraph" w:styleId="Footer">
    <w:name w:val="footer"/>
    <w:basedOn w:val="Normal"/>
    <w:link w:val="FooterChar"/>
    <w:uiPriority w:val="99"/>
    <w:unhideWhenUsed/>
    <w:rsid w:val="009600F6"/>
    <w:pPr>
      <w:tabs>
        <w:tab w:val="center" w:pos="4680"/>
        <w:tab w:val="right" w:pos="9360"/>
      </w:tabs>
    </w:pPr>
  </w:style>
  <w:style w:type="character" w:customStyle="1" w:styleId="FooterChar">
    <w:name w:val="Footer Char"/>
    <w:basedOn w:val="DefaultParagraphFont"/>
    <w:link w:val="Footer"/>
    <w:uiPriority w:val="99"/>
    <w:rsid w:val="009600F6"/>
    <w:rPr>
      <w:rFonts w:ascii="Times New Roman" w:eastAsia="Times New Roman" w:hAnsi="Times New Roman" w:cs="Times New Roman"/>
      <w:lang w:bidi="en-US"/>
    </w:rPr>
  </w:style>
  <w:style w:type="character" w:styleId="LineNumber">
    <w:name w:val="line number"/>
    <w:basedOn w:val="DefaultParagraphFont"/>
    <w:uiPriority w:val="99"/>
    <w:semiHidden/>
    <w:unhideWhenUsed/>
    <w:rsid w:val="009600F6"/>
  </w:style>
  <w:style w:type="paragraph" w:customStyle="1" w:styleId="DocID">
    <w:name w:val="DocID"/>
    <w:basedOn w:val="Footer"/>
    <w:next w:val="Footer"/>
    <w:link w:val="DocIDChar1"/>
    <w:rsid w:val="00D03A8C"/>
    <w:pPr>
      <w:widowControl/>
      <w:tabs>
        <w:tab w:val="clear" w:pos="4680"/>
        <w:tab w:val="clear" w:pos="9360"/>
      </w:tabs>
      <w:autoSpaceDE/>
      <w:autoSpaceDN/>
      <w:jc w:val="right"/>
    </w:pPr>
    <w:rPr>
      <w:rFonts w:asciiTheme="minorHAnsi" w:hAnsiTheme="minorHAnsi"/>
      <w:bCs/>
      <w:iCs/>
      <w:sz w:val="16"/>
      <w:lang w:bidi="ar-SA"/>
    </w:rPr>
  </w:style>
  <w:style w:type="character" w:customStyle="1" w:styleId="DocIDChar1">
    <w:name w:val="DocID Char1"/>
    <w:basedOn w:val="DefaultParagraphFont"/>
    <w:link w:val="DocID"/>
    <w:rsid w:val="00D03A8C"/>
    <w:rPr>
      <w:rFonts w:eastAsia="Times New Roman" w:cs="Times New Roman"/>
      <w:bCs/>
      <w:iCs/>
      <w:sz w:val="16"/>
    </w:rPr>
  </w:style>
  <w:style w:type="paragraph" w:styleId="BalloonText">
    <w:name w:val="Balloon Text"/>
    <w:basedOn w:val="Normal"/>
    <w:link w:val="BalloonTextChar"/>
    <w:uiPriority w:val="99"/>
    <w:semiHidden/>
    <w:unhideWhenUsed/>
    <w:rsid w:val="00554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847"/>
    <w:rPr>
      <w:rFonts w:ascii="Segoe UI" w:eastAsia="Times New Roman" w:hAnsi="Segoe UI" w:cs="Segoe UI"/>
      <w:sz w:val="18"/>
      <w:szCs w:val="18"/>
      <w:lang w:bidi="en-US"/>
    </w:rPr>
  </w:style>
  <w:style w:type="paragraph" w:styleId="Revision">
    <w:name w:val="Revision"/>
    <w:hidden/>
    <w:uiPriority w:val="99"/>
    <w:semiHidden/>
    <w:rsid w:val="00872EA4"/>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376E7C"/>
    <w:rPr>
      <w:sz w:val="16"/>
      <w:szCs w:val="16"/>
    </w:rPr>
  </w:style>
  <w:style w:type="paragraph" w:styleId="CommentText">
    <w:name w:val="annotation text"/>
    <w:basedOn w:val="Normal"/>
    <w:link w:val="CommentTextChar"/>
    <w:uiPriority w:val="99"/>
    <w:semiHidden/>
    <w:unhideWhenUsed/>
    <w:rsid w:val="00376E7C"/>
    <w:rPr>
      <w:sz w:val="20"/>
      <w:szCs w:val="20"/>
    </w:rPr>
  </w:style>
  <w:style w:type="character" w:customStyle="1" w:styleId="CommentTextChar">
    <w:name w:val="Comment Text Char"/>
    <w:basedOn w:val="DefaultParagraphFont"/>
    <w:link w:val="CommentText"/>
    <w:uiPriority w:val="99"/>
    <w:semiHidden/>
    <w:rsid w:val="00376E7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76E7C"/>
    <w:rPr>
      <w:b/>
      <w:bCs/>
    </w:rPr>
  </w:style>
  <w:style w:type="character" w:customStyle="1" w:styleId="CommentSubjectChar">
    <w:name w:val="Comment Subject Char"/>
    <w:basedOn w:val="CommentTextChar"/>
    <w:link w:val="CommentSubject"/>
    <w:uiPriority w:val="99"/>
    <w:semiHidden/>
    <w:rsid w:val="00376E7C"/>
    <w:rPr>
      <w:rFonts w:ascii="Times New Roman" w:eastAsia="Times New Roman" w:hAnsi="Times New Roman" w:cs="Times New Roman"/>
      <w:b/>
      <w:bCs/>
      <w:sz w:val="20"/>
      <w:szCs w:val="20"/>
      <w:lang w:bidi="en-US"/>
    </w:rPr>
  </w:style>
  <w:style w:type="character" w:styleId="UnresolvedMention">
    <w:name w:val="Unresolved Mention"/>
    <w:basedOn w:val="DefaultParagraphFont"/>
    <w:uiPriority w:val="99"/>
    <w:semiHidden/>
    <w:unhideWhenUsed/>
    <w:rsid w:val="005E5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len.palmiere@grc-us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53F54-26B4-2043-BCC2-C5F836C0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Lori Lee</cp:lastModifiedBy>
  <cp:revision>2</cp:revision>
  <dcterms:created xsi:type="dcterms:W3CDTF">2022-04-13T15:25:00Z</dcterms:created>
  <dcterms:modified xsi:type="dcterms:W3CDTF">2022-04-13T15:25:00Z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2014-11-17T00:00:00Z</vt:filetime>
  </property>
  <property fmtid="{D5CDD505-2E9C-101B-9397-08002B2CF9AE}" pid="3" name="Creator">
    <vt:lpwstr>Microsoft® Word 2010</vt:lpwstr>
  </property>
  <property fmtid="{D5CDD505-2E9C-101B-9397-08002B2CF9AE}" pid="4" name="LastSaved">
    <vt:filetime>2017-12-05T00:00:00Z</vt:filetime>
  </property>
  <property fmtid="{D5CDD505-2E9C-101B-9397-08002B2CF9AE}" pid="5" name="DOCXDOCID">
    <vt:lpwstr>4839022.1</vt:lpwstr>
  </property>
  <property fmtid="{D5CDD505-2E9C-101B-9397-08002B2CF9AE}" pid="6" name="DocXLocation">
    <vt:lpwstr>Bottom of First Page</vt:lpwstr>
  </property>
  <property fmtid="{D5CDD505-2E9C-101B-9397-08002B2CF9AE}" pid="7" name="DocXFormat">
    <vt:lpwstr>DefaultFormat</vt:lpwstr>
  </property>
</Properties>
</file>